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6C414A" w:rsidRDefault="00F92E03" w:rsidP="000228AB">
      <w:pPr>
        <w:jc w:val="center"/>
        <w:rPr>
          <w:b/>
          <w:bCs/>
          <w:color w:val="000000"/>
          <w:lang w:val="en-US"/>
        </w:rPr>
      </w:pPr>
      <w:r w:rsidRPr="00AF5117">
        <w:rPr>
          <w:b/>
          <w:bCs/>
          <w:lang w:val="en-US"/>
        </w:rPr>
        <w:t xml:space="preserve">of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w:t>
      </w:r>
      <w:r w:rsidRPr="00AF5117">
        <w:rPr>
          <w:b/>
          <w:bCs/>
          <w:color w:val="000000"/>
          <w:lang w:val="en-US"/>
        </w:rPr>
        <w:t xml:space="preserve">a </w:t>
      </w:r>
      <w:r w:rsidR="00B22295">
        <w:rPr>
          <w:b/>
          <w:bCs/>
          <w:color w:val="000000"/>
          <w:lang w:val="en-US"/>
        </w:rPr>
        <w:t xml:space="preserve">Unified Property Complex </w:t>
      </w:r>
      <w:r w:rsidR="000228AB">
        <w:rPr>
          <w:b/>
          <w:bCs/>
          <w:color w:val="000000"/>
        </w:rPr>
        <w:t>–</w:t>
      </w:r>
      <w:r w:rsidR="00B22295">
        <w:rPr>
          <w:b/>
          <w:bCs/>
          <w:color w:val="000000"/>
          <w:lang w:val="en-US"/>
        </w:rPr>
        <w:t xml:space="preserve"> </w:t>
      </w:r>
      <w:r w:rsidR="000228AB">
        <w:rPr>
          <w:b/>
          <w:bCs/>
          <w:color w:val="000000"/>
          <w:lang w:val="en-US"/>
        </w:rPr>
        <w:t xml:space="preserve">Structural subdivision of State-owned enterprise </w:t>
      </w:r>
      <w:r w:rsidR="00B22295">
        <w:rPr>
          <w:b/>
          <w:bCs/>
          <w:color w:val="000000"/>
          <w:lang w:val="en-US"/>
        </w:rPr>
        <w:t>“</w:t>
      </w:r>
      <w:r w:rsidR="00903281">
        <w:rPr>
          <w:b/>
          <w:bCs/>
          <w:color w:val="000000"/>
          <w:lang w:val="en-US"/>
        </w:rPr>
        <w:t xml:space="preserve">Administrative </w:t>
      </w:r>
      <w:r w:rsidR="00D86498">
        <w:rPr>
          <w:b/>
          <w:bCs/>
          <w:color w:val="000000"/>
          <w:lang w:val="en-US"/>
        </w:rPr>
        <w:t>Directorate</w:t>
      </w:r>
      <w:r w:rsidR="000228AB">
        <w:rPr>
          <w:b/>
          <w:bCs/>
          <w:color w:val="000000"/>
          <w:lang w:val="en-US"/>
        </w:rPr>
        <w:t xml:space="preserve"> of the State Property Fund of Ukraine</w:t>
      </w:r>
      <w:r w:rsidR="00B22295">
        <w:rPr>
          <w:b/>
          <w:bCs/>
          <w:color w:val="000000"/>
          <w:lang w:val="en-US"/>
        </w:rPr>
        <w:t>”</w:t>
      </w:r>
      <w:r w:rsidRPr="00AF5117">
        <w:rPr>
          <w:b/>
          <w:bCs/>
          <w:color w:val="000000"/>
          <w:lang w:val="en-US"/>
        </w:rPr>
        <w:t xml:space="preserve"> </w:t>
      </w:r>
      <w:r w:rsidR="00E629AE" w:rsidRPr="00AF5117">
        <w:rPr>
          <w:b/>
          <w:bCs/>
          <w:lang w:val="en-US"/>
        </w:rPr>
        <w:t>(</w:t>
      </w:r>
      <w:r w:rsidR="006C414A">
        <w:rPr>
          <w:b/>
          <w:bCs/>
          <w:lang w:val="en-US"/>
        </w:rPr>
        <w:t>Dnipro branch</w:t>
      </w:r>
      <w:r w:rsidR="00E629AE" w:rsidRPr="00AF5117">
        <w:rPr>
          <w:b/>
          <w:bCs/>
          <w:lang w:val="en-US"/>
        </w:rPr>
        <w:t>)</w:t>
      </w:r>
      <w:r w:rsidR="000E2769">
        <w:rPr>
          <w:b/>
          <w:bCs/>
          <w:lang w:val="en-US"/>
        </w:rPr>
        <w:t xml:space="preserve"> </w:t>
      </w:r>
      <w:r w:rsidR="00E629AE">
        <w:rPr>
          <w:b/>
          <w:bCs/>
          <w:color w:val="000000"/>
          <w:lang w:val="en-US"/>
        </w:rPr>
        <w:t>i</w:t>
      </w:r>
      <w:r w:rsidR="00AF50AC">
        <w:rPr>
          <w:b/>
          <w:bCs/>
          <w:color w:val="000000"/>
          <w:lang w:val="en-US"/>
        </w:rPr>
        <w:t xml:space="preserve">s </w:t>
      </w:r>
      <w:r w:rsidR="000E2769">
        <w:rPr>
          <w:b/>
          <w:bCs/>
          <w:color w:val="000000"/>
          <w:lang w:val="en-US"/>
        </w:rPr>
        <w:t>located at the address:</w:t>
      </w:r>
      <w:r w:rsidR="00851BA0">
        <w:rPr>
          <w:b/>
          <w:bCs/>
          <w:color w:val="000000"/>
          <w:lang w:val="en-US"/>
        </w:rPr>
        <w:t xml:space="preserve"> </w:t>
      </w:r>
    </w:p>
    <w:p w:rsidR="00F92E03" w:rsidRPr="00AF5117" w:rsidRDefault="00E629AE" w:rsidP="000228AB">
      <w:pPr>
        <w:jc w:val="center"/>
        <w:rPr>
          <w:b/>
          <w:bCs/>
          <w:lang w:val="en-US"/>
        </w:rPr>
      </w:pPr>
      <w:r>
        <w:rPr>
          <w:b/>
          <w:bCs/>
          <w:color w:val="000000"/>
          <w:lang w:val="en-US"/>
        </w:rPr>
        <w:t>2</w:t>
      </w:r>
      <w:r w:rsidR="006C414A">
        <w:rPr>
          <w:b/>
          <w:bCs/>
          <w:color w:val="000000"/>
          <w:lang w:val="en-US"/>
        </w:rPr>
        <w:t>5</w:t>
      </w:r>
      <w:r w:rsidR="00C153D7">
        <w:rPr>
          <w:b/>
          <w:bCs/>
          <w:color w:val="000000"/>
          <w:lang w:val="en-US"/>
        </w:rPr>
        <w:t xml:space="preserve">, </w:t>
      </w:r>
      <w:proofErr w:type="spellStart"/>
      <w:r w:rsidR="006C414A">
        <w:rPr>
          <w:b/>
          <w:bCs/>
          <w:color w:val="000000"/>
          <w:lang w:val="en-US"/>
        </w:rPr>
        <w:t>Kolomoitsivska</w:t>
      </w:r>
      <w:proofErr w:type="spellEnd"/>
      <w:r w:rsidR="00C153D7">
        <w:rPr>
          <w:b/>
          <w:bCs/>
          <w:color w:val="000000"/>
          <w:lang w:val="en-US"/>
        </w:rPr>
        <w:t xml:space="preserve"> S</w:t>
      </w:r>
      <w:r w:rsidR="00F92E03" w:rsidRPr="00AF5117">
        <w:rPr>
          <w:b/>
          <w:bCs/>
          <w:color w:val="000000"/>
          <w:lang w:val="en-US"/>
        </w:rPr>
        <w:t xml:space="preserve">treet, </w:t>
      </w:r>
      <w:proofErr w:type="spellStart"/>
      <w:r w:rsidR="006C414A">
        <w:rPr>
          <w:b/>
          <w:bCs/>
          <w:color w:val="000000"/>
          <w:lang w:val="en-US"/>
        </w:rPr>
        <w:t>Kryvyi</w:t>
      </w:r>
      <w:proofErr w:type="spellEnd"/>
      <w:r w:rsidR="006C414A">
        <w:rPr>
          <w:b/>
          <w:bCs/>
          <w:color w:val="000000"/>
          <w:lang w:val="en-US"/>
        </w:rPr>
        <w:t xml:space="preserve"> </w:t>
      </w:r>
      <w:proofErr w:type="spellStart"/>
      <w:r w:rsidR="006C414A">
        <w:rPr>
          <w:b/>
          <w:bCs/>
          <w:color w:val="000000"/>
          <w:lang w:val="en-US"/>
        </w:rPr>
        <w:t>Rih</w:t>
      </w:r>
      <w:proofErr w:type="spellEnd"/>
      <w:r w:rsidR="006C414A">
        <w:rPr>
          <w:b/>
          <w:bCs/>
          <w:color w:val="000000"/>
          <w:lang w:val="en-US"/>
        </w:rPr>
        <w:t xml:space="preserve"> town, </w:t>
      </w:r>
      <w:proofErr w:type="spellStart"/>
      <w:r w:rsidR="006C414A">
        <w:rPr>
          <w:b/>
          <w:bCs/>
          <w:color w:val="000000"/>
          <w:lang w:val="en-US"/>
        </w:rPr>
        <w:t>Dnipro</w:t>
      </w:r>
      <w:r w:rsidR="00C82133">
        <w:rPr>
          <w:b/>
          <w:bCs/>
          <w:color w:val="000000"/>
          <w:lang w:val="en-US"/>
        </w:rPr>
        <w:t>petrovska</w:t>
      </w:r>
      <w:proofErr w:type="spellEnd"/>
      <w:r w:rsidR="006C414A">
        <w:rPr>
          <w:b/>
          <w:bCs/>
          <w:color w:val="000000"/>
          <w:lang w:val="en-US"/>
        </w:rPr>
        <w:t xml:space="preserve"> </w:t>
      </w:r>
      <w:r w:rsidR="00C82133">
        <w:rPr>
          <w:b/>
          <w:bCs/>
          <w:color w:val="000000"/>
          <w:lang w:val="en-US"/>
        </w:rPr>
        <w:t>oblast</w:t>
      </w:r>
    </w:p>
    <w:p w:rsidR="00F92E03" w:rsidRPr="00AF5117" w:rsidRDefault="00F92E03" w:rsidP="00DF5AEC">
      <w:pPr>
        <w:jc w:val="center"/>
        <w:rPr>
          <w:b/>
          <w:bCs/>
          <w:color w:val="000000"/>
          <w:lang w:val="en-US"/>
        </w:rPr>
      </w:pPr>
    </w:p>
    <w:p w:rsidR="00DF5AEC" w:rsidRPr="00AF5117" w:rsidRDefault="00DF5AEC" w:rsidP="00DF5AEC">
      <w:pPr>
        <w:ind w:firstLine="720"/>
        <w:jc w:val="center"/>
        <w:rPr>
          <w:sz w:val="22"/>
          <w:szCs w:val="22"/>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276BDA" w:rsidRDefault="006C410E" w:rsidP="003C6E26">
      <w:pPr>
        <w:spacing w:after="240"/>
        <w:jc w:val="both"/>
        <w:rPr>
          <w:lang w:val="en-US"/>
        </w:rPr>
      </w:pPr>
      <w:r>
        <w:rPr>
          <w:b/>
          <w:bCs/>
          <w:lang w:val="en-US"/>
        </w:rPr>
        <w:t>Object name</w:t>
      </w:r>
      <w:r w:rsidR="00130CC8" w:rsidRPr="00AF5117">
        <w:rPr>
          <w:b/>
          <w:bCs/>
          <w:lang w:val="en-US"/>
        </w:rPr>
        <w:t xml:space="preserve">: </w:t>
      </w:r>
      <w:r w:rsidR="00C11798" w:rsidRPr="00C11798">
        <w:rPr>
          <w:bCs/>
          <w:color w:val="000000"/>
          <w:lang w:val="en-US"/>
        </w:rPr>
        <w:t>Structural subdivision of State-owned enterprise “Administrative Directorate of the State Property Fund of Ukraine” (Dnipro branch)</w:t>
      </w:r>
      <w:r>
        <w:rPr>
          <w:bCs/>
          <w:color w:val="000000"/>
          <w:lang w:val="en-US"/>
        </w:rPr>
        <w:t>.</w:t>
      </w:r>
    </w:p>
    <w:p w:rsidR="0052090A" w:rsidRDefault="0052090A" w:rsidP="003C6E26">
      <w:pPr>
        <w:spacing w:after="240"/>
        <w:jc w:val="both"/>
        <w:rPr>
          <w:bCs/>
          <w:color w:val="000000"/>
          <w:lang w:val="en-US"/>
        </w:rPr>
      </w:pPr>
      <w:r w:rsidRPr="00AF5117">
        <w:rPr>
          <w:b/>
          <w:bCs/>
          <w:lang w:val="en-US"/>
        </w:rPr>
        <w:t xml:space="preserve">Location: </w:t>
      </w:r>
      <w:r w:rsidR="00615FBD" w:rsidRPr="00615FBD">
        <w:rPr>
          <w:bCs/>
          <w:color w:val="000000"/>
          <w:lang w:val="en-US"/>
        </w:rPr>
        <w:t xml:space="preserve">25, </w:t>
      </w:r>
      <w:proofErr w:type="spellStart"/>
      <w:r w:rsidR="00615FBD" w:rsidRPr="00615FBD">
        <w:rPr>
          <w:bCs/>
          <w:color w:val="000000"/>
          <w:lang w:val="en-US"/>
        </w:rPr>
        <w:t>Kolomoitsivska</w:t>
      </w:r>
      <w:proofErr w:type="spellEnd"/>
      <w:r w:rsidR="00615FBD" w:rsidRPr="00615FBD">
        <w:rPr>
          <w:bCs/>
          <w:color w:val="000000"/>
          <w:lang w:val="en-US"/>
        </w:rPr>
        <w:t xml:space="preserve"> Street, </w:t>
      </w:r>
      <w:proofErr w:type="spellStart"/>
      <w:r w:rsidR="00615FBD" w:rsidRPr="00615FBD">
        <w:rPr>
          <w:bCs/>
          <w:color w:val="000000"/>
          <w:lang w:val="en-US"/>
        </w:rPr>
        <w:t>Kryvyi</w:t>
      </w:r>
      <w:proofErr w:type="spellEnd"/>
      <w:r w:rsidR="00615FBD" w:rsidRPr="00615FBD">
        <w:rPr>
          <w:bCs/>
          <w:color w:val="000000"/>
          <w:lang w:val="en-US"/>
        </w:rPr>
        <w:t xml:space="preserve"> </w:t>
      </w:r>
      <w:proofErr w:type="spellStart"/>
      <w:r w:rsidR="00615FBD" w:rsidRPr="00615FBD">
        <w:rPr>
          <w:bCs/>
          <w:color w:val="000000"/>
          <w:lang w:val="en-US"/>
        </w:rPr>
        <w:t>Rih</w:t>
      </w:r>
      <w:proofErr w:type="spellEnd"/>
      <w:r w:rsidR="00615FBD" w:rsidRPr="00615FBD">
        <w:rPr>
          <w:bCs/>
          <w:color w:val="000000"/>
          <w:lang w:val="en-US"/>
        </w:rPr>
        <w:t xml:space="preserve"> town, </w:t>
      </w:r>
      <w:proofErr w:type="spellStart"/>
      <w:r w:rsidR="00615FBD" w:rsidRPr="00615FBD">
        <w:rPr>
          <w:bCs/>
          <w:color w:val="000000"/>
          <w:lang w:val="en-US"/>
        </w:rPr>
        <w:t>Dnipropetrovska</w:t>
      </w:r>
      <w:proofErr w:type="spellEnd"/>
      <w:r w:rsidR="00615FBD" w:rsidRPr="00615FBD">
        <w:rPr>
          <w:bCs/>
          <w:color w:val="000000"/>
          <w:lang w:val="en-US"/>
        </w:rPr>
        <w:t xml:space="preserve"> oblast</w:t>
      </w:r>
      <w:r w:rsidR="000F23DB">
        <w:rPr>
          <w:bCs/>
          <w:color w:val="000000"/>
          <w:lang w:val="en-US"/>
        </w:rPr>
        <w:t>.</w:t>
      </w:r>
    </w:p>
    <w:p w:rsidR="00180D7B" w:rsidRPr="00180D7B" w:rsidRDefault="00180D7B" w:rsidP="003C6E26">
      <w:pPr>
        <w:spacing w:after="240"/>
        <w:jc w:val="both"/>
        <w:rPr>
          <w:bCs/>
          <w:color w:val="000000"/>
          <w:lang w:val="en-US"/>
        </w:rPr>
      </w:pPr>
      <w:r>
        <w:rPr>
          <w:bCs/>
          <w:color w:val="000000"/>
          <w:lang w:val="en-US"/>
        </w:rPr>
        <w:t>Dnipro branch is a separate s</w:t>
      </w:r>
      <w:r w:rsidRPr="00C11798">
        <w:rPr>
          <w:bCs/>
          <w:color w:val="000000"/>
          <w:lang w:val="en-US"/>
        </w:rPr>
        <w:t>tructural subdivision of State-owned enterprise “Administrative Directorate of the State Property Fund of Ukraine”</w:t>
      </w:r>
      <w:r>
        <w:rPr>
          <w:bCs/>
          <w:color w:val="000000"/>
          <w:lang w:val="en-US"/>
        </w:rPr>
        <w:t xml:space="preserve"> </w:t>
      </w:r>
      <w:r w:rsidRPr="00180D7B">
        <w:rPr>
          <w:bCs/>
          <w:color w:val="000000"/>
          <w:lang w:val="en-US"/>
        </w:rPr>
        <w:t>without the right of a legal entity</w:t>
      </w:r>
      <w:r>
        <w:rPr>
          <w:bCs/>
          <w:color w:val="000000"/>
          <w:lang w:val="en-US"/>
        </w:rPr>
        <w:t>.</w:t>
      </w:r>
    </w:p>
    <w:p w:rsidR="00084344" w:rsidRDefault="00084344" w:rsidP="001765A3">
      <w:pPr>
        <w:jc w:val="both"/>
        <w:rPr>
          <w:lang w:val="en-US" w:eastAsia="uk-UA"/>
        </w:rPr>
      </w:pPr>
      <w:r w:rsidRPr="00084344">
        <w:rPr>
          <w:b/>
          <w:lang w:val="en-US"/>
        </w:rPr>
        <w:t>Id</w:t>
      </w:r>
      <w:r>
        <w:rPr>
          <w:b/>
          <w:lang w:val="en-US"/>
        </w:rPr>
        <w:t xml:space="preserve">entification code </w:t>
      </w:r>
      <w:r w:rsidR="0077131F">
        <w:rPr>
          <w:b/>
          <w:lang w:val="en-US"/>
        </w:rPr>
        <w:t>of a separate subdivision:</w:t>
      </w:r>
      <w:r>
        <w:rPr>
          <w:b/>
          <w:lang w:val="en-US"/>
        </w:rPr>
        <w:t xml:space="preserve"> </w:t>
      </w:r>
      <w:r w:rsidR="0077131F">
        <w:rPr>
          <w:lang w:val="en-US" w:eastAsia="uk-UA"/>
        </w:rPr>
        <w:t>44063185</w:t>
      </w:r>
      <w:r>
        <w:rPr>
          <w:lang w:val="en-US" w:eastAsia="uk-UA"/>
        </w:rPr>
        <w:t>.</w:t>
      </w:r>
    </w:p>
    <w:p w:rsidR="001E6AEE" w:rsidRPr="00CC4CFC" w:rsidRDefault="001E6AEE" w:rsidP="001765A3">
      <w:pPr>
        <w:jc w:val="both"/>
        <w:rPr>
          <w:b/>
          <w:lang w:val="en-US"/>
        </w:rPr>
      </w:pPr>
    </w:p>
    <w:p w:rsidR="001765A3" w:rsidRDefault="00CC4CFC" w:rsidP="001765A3">
      <w:pPr>
        <w:jc w:val="both"/>
        <w:rPr>
          <w:b/>
          <w:lang w:val="en-US"/>
        </w:rPr>
      </w:pPr>
      <w:r>
        <w:rPr>
          <w:b/>
          <w:lang w:val="en-US"/>
        </w:rPr>
        <w:t>Object information</w:t>
      </w:r>
      <w:r w:rsidR="001765A3">
        <w:rPr>
          <w:b/>
          <w:lang w:val="en-US"/>
        </w:rPr>
        <w:t>:</w:t>
      </w:r>
    </w:p>
    <w:p w:rsidR="00170BBD" w:rsidRDefault="00170BBD" w:rsidP="00170BBD">
      <w:pPr>
        <w:jc w:val="both"/>
        <w:rPr>
          <w:lang w:val="en-US"/>
        </w:rPr>
      </w:pPr>
      <w:r w:rsidRPr="003B77C3">
        <w:rPr>
          <w:lang w:val="en-US"/>
        </w:rPr>
        <w:t>The average number of employees</w:t>
      </w:r>
      <w:r>
        <w:rPr>
          <w:lang w:val="en-US"/>
        </w:rPr>
        <w:t xml:space="preserve"> –</w:t>
      </w:r>
      <w:r w:rsidRPr="00E625E1">
        <w:rPr>
          <w:lang w:val="en-US"/>
        </w:rPr>
        <w:t xml:space="preserve"> </w:t>
      </w:r>
      <w:r w:rsidR="00443109">
        <w:t>1</w:t>
      </w:r>
      <w:r>
        <w:rPr>
          <w:lang w:val="en-US"/>
        </w:rPr>
        <w:t>.</w:t>
      </w:r>
    </w:p>
    <w:p w:rsidR="00170BBD" w:rsidRDefault="00170BBD" w:rsidP="00170BBD">
      <w:pPr>
        <w:jc w:val="both"/>
        <w:rPr>
          <w:lang w:val="en-US"/>
        </w:rPr>
      </w:pPr>
    </w:p>
    <w:p w:rsidR="00170BBD" w:rsidRPr="008B47A9" w:rsidRDefault="00170BBD" w:rsidP="00170BBD">
      <w:pPr>
        <w:jc w:val="both"/>
        <w:rPr>
          <w:lang w:val="en-US"/>
        </w:rPr>
      </w:pPr>
      <w:r w:rsidRPr="00C0144D">
        <w:rPr>
          <w:lang w:val="en-US"/>
        </w:rPr>
        <w:t>The main activity, according to the Unified State Register of Legal Entities, Individuals - Enterprises and Public Formations, is</w:t>
      </w:r>
      <w:r w:rsidRPr="008B47A9">
        <w:t xml:space="preserve"> </w:t>
      </w:r>
      <w:r w:rsidRPr="008B47A9">
        <w:rPr>
          <w:lang w:val="en-US"/>
        </w:rPr>
        <w:t>lease and operation of own or leased real estate</w:t>
      </w:r>
      <w:r>
        <w:rPr>
          <w:lang w:val="en-US"/>
        </w:rPr>
        <w:t>.</w:t>
      </w:r>
    </w:p>
    <w:p w:rsidR="00170BBD" w:rsidRDefault="00170BBD" w:rsidP="00170BBD">
      <w:pPr>
        <w:jc w:val="both"/>
        <w:rPr>
          <w:lang w:val="en-US"/>
        </w:rPr>
      </w:pPr>
    </w:p>
    <w:p w:rsidR="00170BBD" w:rsidRDefault="00170BBD" w:rsidP="00170BBD">
      <w:pPr>
        <w:jc w:val="both"/>
        <w:rPr>
          <w:lang w:val="en-US"/>
        </w:rPr>
      </w:pPr>
      <w:r w:rsidRPr="00B07BE0">
        <w:rPr>
          <w:lang w:val="en-US"/>
        </w:rPr>
        <w:t>The sales of products (works, services) – none (newly created object).</w:t>
      </w:r>
    </w:p>
    <w:p w:rsidR="00170BBD" w:rsidRDefault="00170BBD" w:rsidP="00170BBD">
      <w:pPr>
        <w:jc w:val="both"/>
        <w:rPr>
          <w:lang w:val="en-US"/>
        </w:rPr>
      </w:pPr>
    </w:p>
    <w:p w:rsidR="00170BBD" w:rsidRPr="00B07BE0" w:rsidRDefault="00170BBD" w:rsidP="00170BBD">
      <w:pPr>
        <w:jc w:val="both"/>
        <w:rPr>
          <w:lang w:val="en-US"/>
        </w:rPr>
      </w:pPr>
      <w:r w:rsidRPr="002228EF">
        <w:rPr>
          <w:lang w:val="en-US"/>
        </w:rPr>
        <w:t xml:space="preserve">Assets of the privatization </w:t>
      </w:r>
      <w:r>
        <w:rPr>
          <w:lang w:val="en-US"/>
        </w:rPr>
        <w:t xml:space="preserve">object: </w:t>
      </w:r>
      <w:r w:rsidRPr="006F4C6E">
        <w:rPr>
          <w:lang w:val="en-US"/>
        </w:rPr>
        <w:t xml:space="preserve">property of the </w:t>
      </w:r>
      <w:r>
        <w:rPr>
          <w:lang w:val="en-US"/>
        </w:rPr>
        <w:t>unified</w:t>
      </w:r>
      <w:r w:rsidRPr="006F4C6E">
        <w:rPr>
          <w:lang w:val="en-US"/>
        </w:rPr>
        <w:t xml:space="preserve"> property complex of a former state enterprise</w:t>
      </w:r>
      <w:r>
        <w:rPr>
          <w:lang w:val="en-US"/>
        </w:rPr>
        <w:t xml:space="preserve"> “</w:t>
      </w:r>
      <w:proofErr w:type="spellStart"/>
      <w:r>
        <w:rPr>
          <w:lang w:val="en-US"/>
        </w:rPr>
        <w:t>Transmash</w:t>
      </w:r>
      <w:proofErr w:type="spellEnd"/>
      <w:r>
        <w:rPr>
          <w:lang w:val="en-US"/>
        </w:rPr>
        <w:t xml:space="preserve">” (buildings, constructions, </w:t>
      </w:r>
      <w:r w:rsidRPr="006F4C6E">
        <w:rPr>
          <w:lang w:val="en-US"/>
        </w:rPr>
        <w:t>equipment and facilities</w:t>
      </w:r>
      <w:r>
        <w:t xml:space="preserve"> </w:t>
      </w:r>
      <w:r>
        <w:rPr>
          <w:lang w:val="en-US"/>
        </w:rPr>
        <w:t xml:space="preserve">for industrial use), placed at the address: </w:t>
      </w:r>
      <w:r w:rsidR="00253925" w:rsidRPr="00615FBD">
        <w:rPr>
          <w:bCs/>
          <w:color w:val="000000"/>
          <w:lang w:val="en-US"/>
        </w:rPr>
        <w:t xml:space="preserve">25, </w:t>
      </w:r>
      <w:proofErr w:type="spellStart"/>
      <w:r w:rsidR="00253925" w:rsidRPr="00615FBD">
        <w:rPr>
          <w:bCs/>
          <w:color w:val="000000"/>
          <w:lang w:val="en-US"/>
        </w:rPr>
        <w:t>Kolomoitsivska</w:t>
      </w:r>
      <w:proofErr w:type="spellEnd"/>
      <w:r w:rsidR="00253925" w:rsidRPr="00615FBD">
        <w:rPr>
          <w:bCs/>
          <w:color w:val="000000"/>
          <w:lang w:val="en-US"/>
        </w:rPr>
        <w:t xml:space="preserve"> Street, </w:t>
      </w:r>
      <w:proofErr w:type="spellStart"/>
      <w:r w:rsidR="00253925" w:rsidRPr="00615FBD">
        <w:rPr>
          <w:bCs/>
          <w:color w:val="000000"/>
          <w:lang w:val="en-US"/>
        </w:rPr>
        <w:t>Kryvyi</w:t>
      </w:r>
      <w:proofErr w:type="spellEnd"/>
      <w:r w:rsidR="00253925" w:rsidRPr="00615FBD">
        <w:rPr>
          <w:bCs/>
          <w:color w:val="000000"/>
          <w:lang w:val="en-US"/>
        </w:rPr>
        <w:t xml:space="preserve"> </w:t>
      </w:r>
      <w:proofErr w:type="spellStart"/>
      <w:r w:rsidR="00253925" w:rsidRPr="00615FBD">
        <w:rPr>
          <w:bCs/>
          <w:color w:val="000000"/>
          <w:lang w:val="en-US"/>
        </w:rPr>
        <w:t>Rih</w:t>
      </w:r>
      <w:proofErr w:type="spellEnd"/>
      <w:r w:rsidR="00253925" w:rsidRPr="00615FBD">
        <w:rPr>
          <w:bCs/>
          <w:color w:val="000000"/>
          <w:lang w:val="en-US"/>
        </w:rPr>
        <w:t xml:space="preserve"> town, </w:t>
      </w:r>
      <w:proofErr w:type="spellStart"/>
      <w:r w:rsidR="00253925" w:rsidRPr="00615FBD">
        <w:rPr>
          <w:bCs/>
          <w:color w:val="000000"/>
          <w:lang w:val="en-US"/>
        </w:rPr>
        <w:t>Dnipropetrovska</w:t>
      </w:r>
      <w:proofErr w:type="spellEnd"/>
      <w:r w:rsidR="00253925" w:rsidRPr="00615FBD">
        <w:rPr>
          <w:bCs/>
          <w:color w:val="000000"/>
          <w:lang w:val="en-US"/>
        </w:rPr>
        <w:t xml:space="preserve"> oblast</w:t>
      </w:r>
      <w:r w:rsidR="00253925">
        <w:rPr>
          <w:bCs/>
          <w:color w:val="000000"/>
          <w:lang w:val="en-US"/>
        </w:rPr>
        <w:t xml:space="preserve">, and </w:t>
      </w:r>
      <w:r w:rsidR="00253925" w:rsidRPr="00253925">
        <w:rPr>
          <w:bCs/>
          <w:color w:val="000000"/>
          <w:lang w:val="en-US"/>
        </w:rPr>
        <w:t xml:space="preserve">transferred to the balance of the structural </w:t>
      </w:r>
      <w:r w:rsidR="00253925" w:rsidRPr="00C11798">
        <w:rPr>
          <w:bCs/>
          <w:color w:val="000000"/>
          <w:lang w:val="en-US"/>
        </w:rPr>
        <w:t>subdivision of State-owned enterprise “Administrative Directorate of the State Property Fund of Ukraine” (Dnipro branch)</w:t>
      </w:r>
      <w:r w:rsidR="00253925">
        <w:rPr>
          <w:bCs/>
          <w:color w:val="000000"/>
          <w:lang w:val="en-US"/>
        </w:rPr>
        <w:t xml:space="preserve">. </w:t>
      </w:r>
      <w:r w:rsidR="00A93BD3" w:rsidRPr="00A93BD3">
        <w:rPr>
          <w:bCs/>
          <w:color w:val="000000"/>
          <w:lang w:val="en-US"/>
        </w:rPr>
        <w:t>The carrying value of the assets is UAH 75,612,843.00.</w:t>
      </w:r>
    </w:p>
    <w:p w:rsidR="00642A00" w:rsidRDefault="00642A00" w:rsidP="001765A3">
      <w:pPr>
        <w:jc w:val="both"/>
        <w:rPr>
          <w:lang w:val="en-US"/>
        </w:rPr>
      </w:pPr>
    </w:p>
    <w:p w:rsidR="00642A00" w:rsidRDefault="00816102" w:rsidP="00816102">
      <w:pPr>
        <w:jc w:val="both"/>
        <w:rPr>
          <w:b/>
          <w:lang w:val="en-US"/>
        </w:rPr>
      </w:pPr>
      <w:r>
        <w:rPr>
          <w:b/>
          <w:lang w:val="en-US"/>
        </w:rPr>
        <w:t>Object information (real estate):</w:t>
      </w:r>
    </w:p>
    <w:p w:rsidR="007A70E5" w:rsidRDefault="007A70E5" w:rsidP="00816102">
      <w:pPr>
        <w:jc w:val="both"/>
        <w:rPr>
          <w:b/>
          <w:lang w:val="en-US"/>
        </w:rPr>
      </w:pPr>
    </w:p>
    <w:tbl>
      <w:tblPr>
        <w:tblW w:w="108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766"/>
        <w:gridCol w:w="1118"/>
        <w:gridCol w:w="1706"/>
        <w:gridCol w:w="1785"/>
        <w:gridCol w:w="1434"/>
        <w:gridCol w:w="1890"/>
      </w:tblGrid>
      <w:tr w:rsidR="007A70E5" w:rsidRPr="001402FA" w:rsidTr="00D030AA">
        <w:tc>
          <w:tcPr>
            <w:tcW w:w="1198" w:type="dxa"/>
            <w:shd w:val="clear" w:color="auto" w:fill="auto"/>
            <w:vAlign w:val="center"/>
          </w:tcPr>
          <w:p w:rsidR="007A70E5" w:rsidRPr="001402FA" w:rsidRDefault="007A70E5" w:rsidP="00D030AA">
            <w:pPr>
              <w:jc w:val="center"/>
              <w:rPr>
                <w:bCs/>
                <w:lang w:val="en-US"/>
              </w:rPr>
            </w:pPr>
            <w:r w:rsidRPr="001402FA">
              <w:rPr>
                <w:bCs/>
                <w:lang w:val="en-US"/>
              </w:rPr>
              <w:t xml:space="preserve">Name </w:t>
            </w:r>
          </w:p>
        </w:tc>
        <w:tc>
          <w:tcPr>
            <w:tcW w:w="1766" w:type="dxa"/>
            <w:shd w:val="clear" w:color="auto" w:fill="auto"/>
            <w:vAlign w:val="center"/>
          </w:tcPr>
          <w:p w:rsidR="007A70E5" w:rsidRPr="001402FA" w:rsidRDefault="007A70E5" w:rsidP="00D030AA">
            <w:pPr>
              <w:jc w:val="center"/>
              <w:rPr>
                <w:bCs/>
                <w:lang w:val="en-US"/>
              </w:rPr>
            </w:pPr>
            <w:r w:rsidRPr="001402FA">
              <w:rPr>
                <w:bCs/>
                <w:lang w:val="en-US"/>
              </w:rPr>
              <w:t>Location address</w:t>
            </w:r>
          </w:p>
        </w:tc>
        <w:tc>
          <w:tcPr>
            <w:tcW w:w="1118" w:type="dxa"/>
            <w:shd w:val="clear" w:color="auto" w:fill="auto"/>
            <w:vAlign w:val="center"/>
          </w:tcPr>
          <w:p w:rsidR="00264C15" w:rsidRPr="001402FA" w:rsidRDefault="007A70E5" w:rsidP="00264C15">
            <w:pPr>
              <w:jc w:val="center"/>
              <w:rPr>
                <w:bCs/>
                <w:lang w:val="en-US"/>
              </w:rPr>
            </w:pPr>
            <w:r w:rsidRPr="001402FA">
              <w:rPr>
                <w:bCs/>
                <w:lang w:val="en-US"/>
              </w:rPr>
              <w:t xml:space="preserve">Total </w:t>
            </w:r>
            <w:r w:rsidR="00264C15" w:rsidRPr="001402FA">
              <w:rPr>
                <w:bCs/>
                <w:lang w:val="en-US"/>
              </w:rPr>
              <w:t>area</w:t>
            </w:r>
          </w:p>
          <w:p w:rsidR="007A70E5" w:rsidRPr="001402FA" w:rsidRDefault="007A70E5" w:rsidP="00264C15">
            <w:pPr>
              <w:jc w:val="center"/>
              <w:rPr>
                <w:bCs/>
                <w:lang w:val="en-US"/>
              </w:rPr>
            </w:pPr>
            <w:r w:rsidRPr="001402FA">
              <w:rPr>
                <w:bCs/>
                <w:lang w:val="en-US"/>
              </w:rPr>
              <w:t xml:space="preserve"> (sq. m.)</w:t>
            </w:r>
          </w:p>
        </w:tc>
        <w:tc>
          <w:tcPr>
            <w:tcW w:w="1706" w:type="dxa"/>
            <w:shd w:val="clear" w:color="auto" w:fill="auto"/>
            <w:vAlign w:val="center"/>
          </w:tcPr>
          <w:p w:rsidR="007A70E5" w:rsidRPr="001402FA" w:rsidRDefault="007A70E5" w:rsidP="00D030AA">
            <w:pPr>
              <w:jc w:val="center"/>
              <w:rPr>
                <w:bCs/>
                <w:lang w:val="en-US"/>
              </w:rPr>
            </w:pPr>
            <w:r w:rsidRPr="001402FA">
              <w:rPr>
                <w:bCs/>
                <w:lang w:val="en-US"/>
              </w:rPr>
              <w:t>Registration number</w:t>
            </w:r>
          </w:p>
        </w:tc>
        <w:tc>
          <w:tcPr>
            <w:tcW w:w="1785" w:type="dxa"/>
            <w:shd w:val="clear" w:color="auto" w:fill="auto"/>
            <w:vAlign w:val="center"/>
          </w:tcPr>
          <w:p w:rsidR="007A70E5" w:rsidRPr="001402FA" w:rsidRDefault="007A70E5" w:rsidP="00D030AA">
            <w:pPr>
              <w:jc w:val="center"/>
              <w:rPr>
                <w:bCs/>
                <w:lang w:val="en-US"/>
              </w:rPr>
            </w:pPr>
            <w:r w:rsidRPr="001402FA">
              <w:rPr>
                <w:bCs/>
                <w:lang w:val="en-US"/>
              </w:rPr>
              <w:t>Functional use</w:t>
            </w:r>
          </w:p>
        </w:tc>
        <w:tc>
          <w:tcPr>
            <w:tcW w:w="1434" w:type="dxa"/>
            <w:shd w:val="clear" w:color="auto" w:fill="auto"/>
            <w:vAlign w:val="center"/>
          </w:tcPr>
          <w:p w:rsidR="007A70E5" w:rsidRPr="001402FA" w:rsidRDefault="007A70E5" w:rsidP="00D030AA">
            <w:pPr>
              <w:jc w:val="center"/>
              <w:rPr>
                <w:bCs/>
                <w:lang w:val="en-US"/>
              </w:rPr>
            </w:pPr>
            <w:r w:rsidRPr="001402FA">
              <w:rPr>
                <w:bCs/>
                <w:lang w:val="en-US"/>
              </w:rPr>
              <w:t>Grounds for the emergence of ownership</w:t>
            </w:r>
          </w:p>
        </w:tc>
        <w:tc>
          <w:tcPr>
            <w:tcW w:w="1890" w:type="dxa"/>
            <w:shd w:val="clear" w:color="auto" w:fill="auto"/>
            <w:vAlign w:val="center"/>
          </w:tcPr>
          <w:p w:rsidR="007A70E5" w:rsidRPr="001402FA" w:rsidRDefault="007A70E5" w:rsidP="007A70E5">
            <w:pPr>
              <w:jc w:val="center"/>
              <w:rPr>
                <w:bCs/>
                <w:lang w:val="en-US"/>
              </w:rPr>
            </w:pPr>
            <w:r w:rsidRPr="001402FA">
              <w:rPr>
                <w:bCs/>
                <w:lang w:val="en-US"/>
              </w:rPr>
              <w:t>Ownership form and owner</w:t>
            </w:r>
          </w:p>
        </w:tc>
      </w:tr>
      <w:tr w:rsidR="007A70E5" w:rsidRPr="001402FA" w:rsidTr="00D030AA">
        <w:tc>
          <w:tcPr>
            <w:tcW w:w="1198" w:type="dxa"/>
            <w:shd w:val="clear" w:color="auto" w:fill="auto"/>
          </w:tcPr>
          <w:p w:rsidR="007A70E5" w:rsidRPr="001402FA" w:rsidRDefault="007A70E5" w:rsidP="00D030AA">
            <w:pPr>
              <w:rPr>
                <w:sz w:val="20"/>
                <w:szCs w:val="20"/>
                <w:lang w:val="en-US"/>
              </w:rPr>
            </w:pPr>
            <w:r w:rsidRPr="001402FA">
              <w:rPr>
                <w:sz w:val="20"/>
                <w:szCs w:val="20"/>
                <w:lang w:val="en-US"/>
              </w:rPr>
              <w:t>Complex</w:t>
            </w:r>
          </w:p>
        </w:tc>
        <w:tc>
          <w:tcPr>
            <w:tcW w:w="1766" w:type="dxa"/>
            <w:shd w:val="clear" w:color="auto" w:fill="auto"/>
          </w:tcPr>
          <w:p w:rsidR="007A70E5" w:rsidRPr="001402FA" w:rsidRDefault="007A70E5" w:rsidP="00D030AA">
            <w:pPr>
              <w:rPr>
                <w:sz w:val="20"/>
                <w:szCs w:val="20"/>
                <w:lang w:val="en-US"/>
              </w:rPr>
            </w:pPr>
            <w:r w:rsidRPr="001402FA">
              <w:rPr>
                <w:bCs/>
                <w:sz w:val="20"/>
                <w:szCs w:val="20"/>
                <w:lang w:val="en-US"/>
              </w:rPr>
              <w:t xml:space="preserve">25, </w:t>
            </w:r>
            <w:proofErr w:type="spellStart"/>
            <w:r w:rsidRPr="001402FA">
              <w:rPr>
                <w:bCs/>
                <w:sz w:val="20"/>
                <w:szCs w:val="20"/>
                <w:lang w:val="en-US"/>
              </w:rPr>
              <w:t>Kolomoitsivska</w:t>
            </w:r>
            <w:proofErr w:type="spellEnd"/>
            <w:r w:rsidRPr="001402FA">
              <w:rPr>
                <w:bCs/>
                <w:sz w:val="20"/>
                <w:szCs w:val="20"/>
                <w:lang w:val="en-US"/>
              </w:rPr>
              <w:t xml:space="preserve"> Street, </w:t>
            </w:r>
            <w:proofErr w:type="spellStart"/>
            <w:r w:rsidRPr="001402FA">
              <w:rPr>
                <w:bCs/>
                <w:sz w:val="20"/>
                <w:szCs w:val="20"/>
                <w:lang w:val="en-US"/>
              </w:rPr>
              <w:t>Kryvyi</w:t>
            </w:r>
            <w:proofErr w:type="spellEnd"/>
            <w:r w:rsidRPr="001402FA">
              <w:rPr>
                <w:bCs/>
                <w:sz w:val="20"/>
                <w:szCs w:val="20"/>
                <w:lang w:val="en-US"/>
              </w:rPr>
              <w:t xml:space="preserve"> </w:t>
            </w:r>
            <w:proofErr w:type="spellStart"/>
            <w:r w:rsidRPr="001402FA">
              <w:rPr>
                <w:bCs/>
                <w:sz w:val="20"/>
                <w:szCs w:val="20"/>
                <w:lang w:val="en-US"/>
              </w:rPr>
              <w:t>Rih</w:t>
            </w:r>
            <w:proofErr w:type="spellEnd"/>
            <w:r w:rsidRPr="001402FA">
              <w:rPr>
                <w:bCs/>
                <w:sz w:val="20"/>
                <w:szCs w:val="20"/>
                <w:lang w:val="en-US"/>
              </w:rPr>
              <w:t xml:space="preserve"> town, </w:t>
            </w:r>
            <w:proofErr w:type="spellStart"/>
            <w:r w:rsidRPr="001402FA">
              <w:rPr>
                <w:bCs/>
                <w:sz w:val="20"/>
                <w:szCs w:val="20"/>
                <w:lang w:val="en-US"/>
              </w:rPr>
              <w:t>Dnipropetrovska</w:t>
            </w:r>
            <w:proofErr w:type="spellEnd"/>
            <w:r w:rsidRPr="001402FA">
              <w:rPr>
                <w:bCs/>
                <w:sz w:val="20"/>
                <w:szCs w:val="20"/>
                <w:lang w:val="en-US"/>
              </w:rPr>
              <w:t xml:space="preserve"> oblast</w:t>
            </w:r>
          </w:p>
        </w:tc>
        <w:tc>
          <w:tcPr>
            <w:tcW w:w="1118" w:type="dxa"/>
            <w:shd w:val="clear" w:color="auto" w:fill="auto"/>
          </w:tcPr>
          <w:p w:rsidR="007A70E5" w:rsidRPr="001402FA" w:rsidRDefault="007A70E5" w:rsidP="00D030AA">
            <w:pPr>
              <w:jc w:val="center"/>
              <w:rPr>
                <w:sz w:val="20"/>
                <w:szCs w:val="20"/>
                <w:lang w:val="en-US"/>
              </w:rPr>
            </w:pPr>
            <w:r w:rsidRPr="001402FA">
              <w:rPr>
                <w:sz w:val="20"/>
                <w:szCs w:val="20"/>
                <w:lang w:val="en-US"/>
              </w:rPr>
              <w:t>-</w:t>
            </w:r>
          </w:p>
        </w:tc>
        <w:tc>
          <w:tcPr>
            <w:tcW w:w="1706" w:type="dxa"/>
            <w:shd w:val="clear" w:color="auto" w:fill="auto"/>
          </w:tcPr>
          <w:p w:rsidR="007A70E5" w:rsidRPr="001402FA" w:rsidRDefault="007A70E5" w:rsidP="00D030AA">
            <w:pPr>
              <w:rPr>
                <w:sz w:val="20"/>
                <w:szCs w:val="20"/>
                <w:lang w:val="en-US"/>
              </w:rPr>
            </w:pPr>
            <w:r w:rsidRPr="001402FA">
              <w:rPr>
                <w:sz w:val="20"/>
                <w:szCs w:val="20"/>
                <w:lang w:val="en-US"/>
              </w:rPr>
              <w:t>1861260012110</w:t>
            </w:r>
          </w:p>
        </w:tc>
        <w:tc>
          <w:tcPr>
            <w:tcW w:w="1785" w:type="dxa"/>
            <w:shd w:val="clear" w:color="auto" w:fill="auto"/>
          </w:tcPr>
          <w:p w:rsidR="007A70E5" w:rsidRPr="001402FA" w:rsidRDefault="007A70E5" w:rsidP="00D030AA">
            <w:pPr>
              <w:jc w:val="center"/>
              <w:rPr>
                <w:sz w:val="20"/>
                <w:szCs w:val="20"/>
                <w:lang w:val="en-US"/>
              </w:rPr>
            </w:pPr>
            <w:r w:rsidRPr="001402FA">
              <w:rPr>
                <w:sz w:val="20"/>
                <w:szCs w:val="20"/>
                <w:lang w:val="en-US"/>
              </w:rPr>
              <w:t>-</w:t>
            </w:r>
          </w:p>
        </w:tc>
        <w:tc>
          <w:tcPr>
            <w:tcW w:w="1434" w:type="dxa"/>
            <w:shd w:val="clear" w:color="auto" w:fill="auto"/>
          </w:tcPr>
          <w:p w:rsidR="007A70E5" w:rsidRPr="001402FA" w:rsidRDefault="00A10586" w:rsidP="00D030AA">
            <w:pPr>
              <w:rPr>
                <w:sz w:val="20"/>
                <w:szCs w:val="20"/>
                <w:lang w:val="en-US"/>
              </w:rPr>
            </w:pPr>
            <w:r w:rsidRPr="001402FA">
              <w:rPr>
                <w:sz w:val="20"/>
                <w:szCs w:val="20"/>
                <w:lang w:val="en-US"/>
              </w:rPr>
              <w:t>Extract from the State Register of Real Property Rights on registration of ownership from 27.06.2019</w:t>
            </w:r>
          </w:p>
        </w:tc>
        <w:tc>
          <w:tcPr>
            <w:tcW w:w="1890" w:type="dxa"/>
            <w:shd w:val="clear" w:color="auto" w:fill="auto"/>
          </w:tcPr>
          <w:p w:rsidR="007A70E5" w:rsidRPr="001402FA" w:rsidRDefault="0073108A" w:rsidP="0073108A">
            <w:pPr>
              <w:rPr>
                <w:sz w:val="20"/>
                <w:szCs w:val="20"/>
                <w:lang w:val="en-US"/>
              </w:rPr>
            </w:pPr>
            <w:r w:rsidRPr="001402FA">
              <w:rPr>
                <w:bCs/>
                <w:sz w:val="20"/>
                <w:szCs w:val="20"/>
                <w:lang w:val="en-US"/>
              </w:rPr>
              <w:t xml:space="preserve">The state represented by the Regional Office of the State Property Fund of Ukraine in </w:t>
            </w:r>
            <w:proofErr w:type="spellStart"/>
            <w:r w:rsidRPr="001402FA">
              <w:rPr>
                <w:bCs/>
                <w:sz w:val="20"/>
                <w:szCs w:val="20"/>
                <w:lang w:val="en-US"/>
              </w:rPr>
              <w:t>Dnipropetrovska</w:t>
            </w:r>
            <w:proofErr w:type="spellEnd"/>
            <w:r w:rsidRPr="001402FA">
              <w:rPr>
                <w:bCs/>
                <w:sz w:val="20"/>
                <w:szCs w:val="20"/>
                <w:lang w:val="en-US"/>
              </w:rPr>
              <w:t xml:space="preserve">, </w:t>
            </w:r>
            <w:proofErr w:type="spellStart"/>
            <w:r w:rsidRPr="001402FA">
              <w:rPr>
                <w:bCs/>
                <w:sz w:val="20"/>
                <w:szCs w:val="20"/>
                <w:lang w:val="en-US"/>
              </w:rPr>
              <w:t>Zaporizhia</w:t>
            </w:r>
            <w:proofErr w:type="spellEnd"/>
            <w:r w:rsidRPr="001402FA">
              <w:rPr>
                <w:bCs/>
                <w:sz w:val="20"/>
                <w:szCs w:val="20"/>
                <w:lang w:val="en-US"/>
              </w:rPr>
              <w:t xml:space="preserve"> and </w:t>
            </w:r>
            <w:proofErr w:type="spellStart"/>
            <w:r w:rsidRPr="001402FA">
              <w:rPr>
                <w:bCs/>
                <w:sz w:val="20"/>
                <w:szCs w:val="20"/>
                <w:lang w:val="en-US"/>
              </w:rPr>
              <w:t>Kirovohradska</w:t>
            </w:r>
            <w:proofErr w:type="spellEnd"/>
            <w:r w:rsidRPr="001402FA">
              <w:rPr>
                <w:bCs/>
                <w:sz w:val="20"/>
                <w:szCs w:val="20"/>
                <w:lang w:val="en-US"/>
              </w:rPr>
              <w:t xml:space="preserve"> oblasts</w:t>
            </w:r>
          </w:p>
        </w:tc>
      </w:tr>
      <w:tr w:rsidR="007A70E5" w:rsidRPr="001402FA" w:rsidTr="00D030AA">
        <w:tc>
          <w:tcPr>
            <w:tcW w:w="10897" w:type="dxa"/>
            <w:gridSpan w:val="7"/>
            <w:shd w:val="clear" w:color="auto" w:fill="auto"/>
          </w:tcPr>
          <w:p w:rsidR="007A70E5" w:rsidRPr="001402FA" w:rsidRDefault="0044420E" w:rsidP="00D030AA">
            <w:pPr>
              <w:rPr>
                <w:sz w:val="20"/>
                <w:szCs w:val="20"/>
                <w:lang w:val="en-US"/>
              </w:rPr>
            </w:pPr>
            <w:r w:rsidRPr="001402FA">
              <w:rPr>
                <w:sz w:val="20"/>
                <w:szCs w:val="20"/>
                <w:lang w:val="en-US"/>
              </w:rPr>
              <w:t>Information about the components of the real estate object:</w:t>
            </w:r>
          </w:p>
        </w:tc>
      </w:tr>
      <w:tr w:rsidR="007A70E5" w:rsidRPr="001402FA" w:rsidTr="00D030AA">
        <w:tc>
          <w:tcPr>
            <w:tcW w:w="5788" w:type="dxa"/>
            <w:gridSpan w:val="4"/>
            <w:shd w:val="clear" w:color="auto" w:fill="auto"/>
          </w:tcPr>
          <w:p w:rsidR="007A70E5" w:rsidRPr="001402FA" w:rsidRDefault="00175DF4" w:rsidP="00D030AA">
            <w:pPr>
              <w:rPr>
                <w:sz w:val="20"/>
                <w:szCs w:val="20"/>
                <w:lang w:val="en-US"/>
              </w:rPr>
            </w:pPr>
            <w:r w:rsidRPr="001402FA">
              <w:rPr>
                <w:sz w:val="20"/>
                <w:szCs w:val="20"/>
                <w:lang w:val="en-US"/>
              </w:rPr>
              <w:t>The name of the components of the real estate object</w:t>
            </w:r>
          </w:p>
        </w:tc>
        <w:tc>
          <w:tcPr>
            <w:tcW w:w="5109" w:type="dxa"/>
            <w:gridSpan w:val="3"/>
            <w:shd w:val="clear" w:color="auto" w:fill="auto"/>
          </w:tcPr>
          <w:p w:rsidR="007A70E5" w:rsidRPr="001402FA" w:rsidRDefault="00175DF4" w:rsidP="00D030AA">
            <w:pPr>
              <w:rPr>
                <w:bCs/>
                <w:sz w:val="20"/>
                <w:szCs w:val="20"/>
                <w:lang w:val="en-US"/>
              </w:rPr>
            </w:pPr>
            <w:r w:rsidRPr="001402FA">
              <w:rPr>
                <w:bCs/>
                <w:sz w:val="20"/>
                <w:szCs w:val="20"/>
                <w:lang w:val="en-US"/>
              </w:rPr>
              <w:t>Total area (sq. m</w:t>
            </w:r>
            <w:r w:rsidR="007A70E5" w:rsidRPr="001402FA">
              <w:rPr>
                <w:bCs/>
                <w:sz w:val="20"/>
                <w:szCs w:val="20"/>
                <w:lang w:val="en-US"/>
              </w:rPr>
              <w:t>.)</w:t>
            </w:r>
          </w:p>
        </w:tc>
      </w:tr>
      <w:tr w:rsidR="007A70E5" w:rsidRPr="001402FA" w:rsidTr="00D030AA">
        <w:tc>
          <w:tcPr>
            <w:tcW w:w="5788" w:type="dxa"/>
            <w:gridSpan w:val="4"/>
            <w:shd w:val="clear" w:color="auto" w:fill="auto"/>
            <w:vAlign w:val="center"/>
          </w:tcPr>
          <w:p w:rsidR="007A70E5" w:rsidRPr="001402FA" w:rsidRDefault="00AB32BA" w:rsidP="00AB32BA">
            <w:pPr>
              <w:rPr>
                <w:sz w:val="20"/>
                <w:szCs w:val="20"/>
                <w:lang w:val="en-US"/>
              </w:rPr>
            </w:pPr>
            <w:r w:rsidRPr="001402FA">
              <w:rPr>
                <w:sz w:val="20"/>
                <w:szCs w:val="20"/>
                <w:lang w:val="en-US"/>
              </w:rPr>
              <w:t>building</w:t>
            </w:r>
            <w:r w:rsidR="007A70E5" w:rsidRPr="001402FA">
              <w:rPr>
                <w:sz w:val="20"/>
                <w:szCs w:val="20"/>
                <w:lang w:val="en-US"/>
              </w:rPr>
              <w:t xml:space="preserve">, </w:t>
            </w:r>
            <w:r w:rsidRPr="001402FA">
              <w:rPr>
                <w:sz w:val="20"/>
                <w:szCs w:val="20"/>
                <w:lang w:val="en-US"/>
              </w:rPr>
              <w:t>House of culture</w:t>
            </w:r>
          </w:p>
        </w:tc>
        <w:tc>
          <w:tcPr>
            <w:tcW w:w="5109" w:type="dxa"/>
            <w:gridSpan w:val="3"/>
            <w:shd w:val="clear" w:color="auto" w:fill="auto"/>
            <w:vAlign w:val="center"/>
          </w:tcPr>
          <w:p w:rsidR="007A70E5" w:rsidRPr="001402FA" w:rsidRDefault="00AB32BA" w:rsidP="00D030AA">
            <w:pPr>
              <w:rPr>
                <w:sz w:val="20"/>
                <w:szCs w:val="20"/>
                <w:lang w:val="en-US"/>
              </w:rPr>
            </w:pPr>
            <w:r w:rsidRPr="001402FA">
              <w:rPr>
                <w:sz w:val="20"/>
                <w:szCs w:val="20"/>
                <w:lang w:val="en-US"/>
              </w:rPr>
              <w:t>5,619.</w:t>
            </w:r>
            <w:r w:rsidR="007A70E5" w:rsidRPr="001402FA">
              <w:rPr>
                <w:sz w:val="20"/>
                <w:szCs w:val="20"/>
                <w:lang w:val="en-US"/>
              </w:rPr>
              <w:t>2</w:t>
            </w:r>
          </w:p>
        </w:tc>
      </w:tr>
      <w:tr w:rsidR="007A70E5" w:rsidRPr="001402FA" w:rsidTr="00D030AA">
        <w:tc>
          <w:tcPr>
            <w:tcW w:w="5788" w:type="dxa"/>
            <w:gridSpan w:val="4"/>
            <w:shd w:val="clear" w:color="auto" w:fill="auto"/>
            <w:vAlign w:val="center"/>
          </w:tcPr>
          <w:p w:rsidR="007A70E5" w:rsidRPr="001402FA" w:rsidRDefault="007620E3" w:rsidP="00D030AA">
            <w:pPr>
              <w:rPr>
                <w:sz w:val="20"/>
                <w:szCs w:val="20"/>
                <w:lang w:val="en-US"/>
              </w:rPr>
            </w:pPr>
            <w:r w:rsidRPr="001402FA">
              <w:rPr>
                <w:sz w:val="20"/>
                <w:szCs w:val="20"/>
                <w:lang w:val="en-US"/>
              </w:rPr>
              <w:t xml:space="preserve">main </w:t>
            </w:r>
            <w:r w:rsidR="001402FA" w:rsidRPr="001402FA">
              <w:rPr>
                <w:sz w:val="20"/>
                <w:szCs w:val="20"/>
                <w:lang w:val="en-US"/>
              </w:rPr>
              <w:t>corps</w:t>
            </w:r>
          </w:p>
        </w:tc>
        <w:tc>
          <w:tcPr>
            <w:tcW w:w="5109" w:type="dxa"/>
            <w:gridSpan w:val="3"/>
            <w:shd w:val="clear" w:color="auto" w:fill="auto"/>
            <w:vAlign w:val="center"/>
          </w:tcPr>
          <w:p w:rsidR="007A70E5" w:rsidRPr="001402FA" w:rsidRDefault="007620E3" w:rsidP="00D030AA">
            <w:pPr>
              <w:rPr>
                <w:sz w:val="20"/>
                <w:szCs w:val="20"/>
                <w:lang w:val="en-US"/>
              </w:rPr>
            </w:pPr>
            <w:r w:rsidRPr="001402FA">
              <w:rPr>
                <w:sz w:val="20"/>
                <w:szCs w:val="20"/>
                <w:lang w:val="en-US"/>
              </w:rPr>
              <w:t>30,179.</w:t>
            </w:r>
            <w:r w:rsidR="007A70E5" w:rsidRPr="001402FA">
              <w:rPr>
                <w:sz w:val="20"/>
                <w:szCs w:val="20"/>
                <w:lang w:val="en-US"/>
              </w:rPr>
              <w:t>6</w:t>
            </w:r>
          </w:p>
        </w:tc>
      </w:tr>
      <w:tr w:rsidR="007A70E5" w:rsidRPr="001402FA" w:rsidTr="00D030AA">
        <w:tc>
          <w:tcPr>
            <w:tcW w:w="5788" w:type="dxa"/>
            <w:gridSpan w:val="4"/>
            <w:shd w:val="clear" w:color="auto" w:fill="auto"/>
            <w:vAlign w:val="center"/>
          </w:tcPr>
          <w:p w:rsidR="007A70E5" w:rsidRPr="001402FA" w:rsidRDefault="007620E3" w:rsidP="00D030AA">
            <w:pPr>
              <w:rPr>
                <w:sz w:val="20"/>
                <w:szCs w:val="20"/>
                <w:lang w:val="en-US"/>
              </w:rPr>
            </w:pPr>
            <w:r w:rsidRPr="001402FA">
              <w:rPr>
                <w:sz w:val="20"/>
                <w:szCs w:val="20"/>
                <w:lang w:val="en-US"/>
              </w:rPr>
              <w:t>warehouse of materials</w:t>
            </w:r>
          </w:p>
        </w:tc>
        <w:tc>
          <w:tcPr>
            <w:tcW w:w="5109" w:type="dxa"/>
            <w:gridSpan w:val="3"/>
            <w:shd w:val="clear" w:color="auto" w:fill="auto"/>
            <w:vAlign w:val="center"/>
          </w:tcPr>
          <w:p w:rsidR="007A70E5" w:rsidRPr="001402FA" w:rsidRDefault="007620E3" w:rsidP="00D030AA">
            <w:pPr>
              <w:rPr>
                <w:sz w:val="20"/>
                <w:szCs w:val="20"/>
                <w:lang w:val="en-US"/>
              </w:rPr>
            </w:pPr>
            <w:r w:rsidRPr="001402FA">
              <w:rPr>
                <w:sz w:val="20"/>
                <w:szCs w:val="20"/>
                <w:lang w:val="en-US"/>
              </w:rPr>
              <w:t>1,815.</w:t>
            </w:r>
            <w:r w:rsidR="007A70E5" w:rsidRPr="001402FA">
              <w:rPr>
                <w:sz w:val="20"/>
                <w:szCs w:val="20"/>
                <w:lang w:val="en-US"/>
              </w:rPr>
              <w:t>5</w:t>
            </w:r>
          </w:p>
        </w:tc>
      </w:tr>
      <w:tr w:rsidR="007A70E5" w:rsidRPr="001402FA" w:rsidTr="00D030AA">
        <w:tc>
          <w:tcPr>
            <w:tcW w:w="5788" w:type="dxa"/>
            <w:gridSpan w:val="4"/>
            <w:shd w:val="clear" w:color="auto" w:fill="auto"/>
            <w:vAlign w:val="center"/>
          </w:tcPr>
          <w:p w:rsidR="007A70E5" w:rsidRPr="001402FA" w:rsidRDefault="004E6719" w:rsidP="00D030AA">
            <w:pPr>
              <w:rPr>
                <w:sz w:val="20"/>
                <w:szCs w:val="20"/>
                <w:lang w:val="en-US"/>
              </w:rPr>
            </w:pPr>
            <w:r w:rsidRPr="001402FA">
              <w:rPr>
                <w:sz w:val="20"/>
                <w:szCs w:val="20"/>
                <w:lang w:val="en-US"/>
              </w:rPr>
              <w:lastRenderedPageBreak/>
              <w:t>warehouse of metal</w:t>
            </w:r>
          </w:p>
        </w:tc>
        <w:tc>
          <w:tcPr>
            <w:tcW w:w="5109" w:type="dxa"/>
            <w:gridSpan w:val="3"/>
            <w:shd w:val="clear" w:color="auto" w:fill="auto"/>
            <w:vAlign w:val="center"/>
          </w:tcPr>
          <w:p w:rsidR="007A70E5" w:rsidRPr="001402FA" w:rsidRDefault="004E6719" w:rsidP="00D030AA">
            <w:pPr>
              <w:rPr>
                <w:sz w:val="20"/>
                <w:szCs w:val="20"/>
                <w:lang w:val="en-US"/>
              </w:rPr>
            </w:pPr>
            <w:r w:rsidRPr="001402FA">
              <w:rPr>
                <w:sz w:val="20"/>
                <w:szCs w:val="20"/>
                <w:lang w:val="en-US"/>
              </w:rPr>
              <w:t>2,357.</w:t>
            </w:r>
            <w:r w:rsidR="007A70E5" w:rsidRPr="001402FA">
              <w:rPr>
                <w:sz w:val="20"/>
                <w:szCs w:val="20"/>
                <w:lang w:val="en-US"/>
              </w:rPr>
              <w:t>4</w:t>
            </w:r>
          </w:p>
        </w:tc>
      </w:tr>
      <w:tr w:rsidR="007A70E5" w:rsidRPr="001402FA" w:rsidTr="00D030AA">
        <w:tc>
          <w:tcPr>
            <w:tcW w:w="5788" w:type="dxa"/>
            <w:gridSpan w:val="4"/>
            <w:shd w:val="clear" w:color="auto" w:fill="auto"/>
            <w:vAlign w:val="center"/>
          </w:tcPr>
          <w:p w:rsidR="007A70E5" w:rsidRPr="001402FA" w:rsidRDefault="004E6719" w:rsidP="00D030AA">
            <w:pPr>
              <w:rPr>
                <w:sz w:val="20"/>
                <w:szCs w:val="20"/>
                <w:lang w:val="en-US"/>
              </w:rPr>
            </w:pPr>
            <w:r w:rsidRPr="001402FA">
              <w:rPr>
                <w:sz w:val="20"/>
                <w:szCs w:val="20"/>
                <w:lang w:val="en-US"/>
              </w:rPr>
              <w:t>canteen</w:t>
            </w:r>
          </w:p>
        </w:tc>
        <w:tc>
          <w:tcPr>
            <w:tcW w:w="5109" w:type="dxa"/>
            <w:gridSpan w:val="3"/>
            <w:shd w:val="clear" w:color="auto" w:fill="auto"/>
            <w:vAlign w:val="center"/>
          </w:tcPr>
          <w:p w:rsidR="007A70E5" w:rsidRPr="001402FA" w:rsidRDefault="004E6719" w:rsidP="00D030AA">
            <w:pPr>
              <w:rPr>
                <w:sz w:val="20"/>
                <w:szCs w:val="20"/>
                <w:lang w:val="en-US"/>
              </w:rPr>
            </w:pPr>
            <w:r w:rsidRPr="001402FA">
              <w:rPr>
                <w:sz w:val="20"/>
                <w:szCs w:val="20"/>
                <w:lang w:val="en-US"/>
              </w:rPr>
              <w:t>2,903.</w:t>
            </w:r>
            <w:r w:rsidR="007A70E5" w:rsidRPr="001402FA">
              <w:rPr>
                <w:sz w:val="20"/>
                <w:szCs w:val="20"/>
                <w:lang w:val="en-US"/>
              </w:rPr>
              <w:t>3</w:t>
            </w:r>
          </w:p>
        </w:tc>
      </w:tr>
      <w:tr w:rsidR="007A70E5" w:rsidRPr="001402FA" w:rsidTr="00D030AA">
        <w:tc>
          <w:tcPr>
            <w:tcW w:w="5788" w:type="dxa"/>
            <w:gridSpan w:val="4"/>
            <w:shd w:val="clear" w:color="auto" w:fill="auto"/>
            <w:vAlign w:val="center"/>
          </w:tcPr>
          <w:p w:rsidR="007A70E5" w:rsidRPr="001402FA" w:rsidRDefault="004E6719" w:rsidP="00D030AA">
            <w:pPr>
              <w:rPr>
                <w:sz w:val="20"/>
                <w:szCs w:val="20"/>
                <w:lang w:val="en-US"/>
              </w:rPr>
            </w:pPr>
            <w:r w:rsidRPr="001402FA">
              <w:rPr>
                <w:sz w:val="20"/>
                <w:szCs w:val="20"/>
                <w:lang w:val="en-US"/>
              </w:rPr>
              <w:t>pump station</w:t>
            </w:r>
          </w:p>
        </w:tc>
        <w:tc>
          <w:tcPr>
            <w:tcW w:w="5109" w:type="dxa"/>
            <w:gridSpan w:val="3"/>
            <w:shd w:val="clear" w:color="auto" w:fill="auto"/>
            <w:vAlign w:val="center"/>
          </w:tcPr>
          <w:p w:rsidR="007A70E5" w:rsidRPr="001402FA" w:rsidRDefault="004E6719" w:rsidP="00D030AA">
            <w:pPr>
              <w:rPr>
                <w:sz w:val="20"/>
                <w:szCs w:val="20"/>
                <w:lang w:val="en-US"/>
              </w:rPr>
            </w:pPr>
            <w:r w:rsidRPr="001402FA">
              <w:rPr>
                <w:sz w:val="20"/>
                <w:szCs w:val="20"/>
                <w:lang w:val="en-US"/>
              </w:rPr>
              <w:t>65.</w:t>
            </w:r>
            <w:r w:rsidR="007A70E5" w:rsidRPr="001402FA">
              <w:rPr>
                <w:sz w:val="20"/>
                <w:szCs w:val="20"/>
                <w:lang w:val="en-US"/>
              </w:rPr>
              <w:t>0</w:t>
            </w:r>
          </w:p>
        </w:tc>
      </w:tr>
      <w:tr w:rsidR="007A70E5" w:rsidRPr="001402FA" w:rsidTr="00D030AA">
        <w:tc>
          <w:tcPr>
            <w:tcW w:w="5788" w:type="dxa"/>
            <w:gridSpan w:val="4"/>
            <w:shd w:val="clear" w:color="auto" w:fill="auto"/>
            <w:vAlign w:val="center"/>
          </w:tcPr>
          <w:p w:rsidR="007A70E5" w:rsidRPr="001402FA" w:rsidRDefault="004E6719" w:rsidP="00D030AA">
            <w:pPr>
              <w:rPr>
                <w:sz w:val="20"/>
                <w:szCs w:val="20"/>
                <w:lang w:val="en-US"/>
              </w:rPr>
            </w:pPr>
            <w:r w:rsidRPr="001402FA">
              <w:rPr>
                <w:sz w:val="20"/>
                <w:szCs w:val="20"/>
                <w:lang w:val="en-US"/>
              </w:rPr>
              <w:t>compressor room</w:t>
            </w:r>
          </w:p>
        </w:tc>
        <w:tc>
          <w:tcPr>
            <w:tcW w:w="5109" w:type="dxa"/>
            <w:gridSpan w:val="3"/>
            <w:shd w:val="clear" w:color="auto" w:fill="auto"/>
            <w:vAlign w:val="center"/>
          </w:tcPr>
          <w:p w:rsidR="007A70E5" w:rsidRPr="001402FA" w:rsidRDefault="004E6719" w:rsidP="00D030AA">
            <w:pPr>
              <w:rPr>
                <w:sz w:val="20"/>
                <w:szCs w:val="20"/>
                <w:lang w:val="en-US"/>
              </w:rPr>
            </w:pPr>
            <w:r w:rsidRPr="001402FA">
              <w:rPr>
                <w:sz w:val="20"/>
                <w:szCs w:val="20"/>
                <w:lang w:val="en-US"/>
              </w:rPr>
              <w:t>239.</w:t>
            </w:r>
            <w:r w:rsidR="007A70E5" w:rsidRPr="001402FA">
              <w:rPr>
                <w:sz w:val="20"/>
                <w:szCs w:val="20"/>
                <w:lang w:val="en-US"/>
              </w:rPr>
              <w:t>2</w:t>
            </w:r>
          </w:p>
        </w:tc>
      </w:tr>
      <w:tr w:rsidR="007A70E5" w:rsidRPr="001402FA" w:rsidTr="00D030AA">
        <w:tc>
          <w:tcPr>
            <w:tcW w:w="5788" w:type="dxa"/>
            <w:gridSpan w:val="4"/>
            <w:shd w:val="clear" w:color="auto" w:fill="auto"/>
            <w:vAlign w:val="center"/>
          </w:tcPr>
          <w:p w:rsidR="007A70E5" w:rsidRPr="001402FA" w:rsidRDefault="00F934F0" w:rsidP="00D030AA">
            <w:pPr>
              <w:rPr>
                <w:sz w:val="20"/>
                <w:szCs w:val="20"/>
                <w:lang w:val="en-US"/>
              </w:rPr>
            </w:pPr>
            <w:r w:rsidRPr="001402FA">
              <w:rPr>
                <w:sz w:val="20"/>
                <w:szCs w:val="20"/>
                <w:lang w:val="en-US"/>
              </w:rPr>
              <w:t>laundry</w:t>
            </w:r>
          </w:p>
        </w:tc>
        <w:tc>
          <w:tcPr>
            <w:tcW w:w="5109" w:type="dxa"/>
            <w:gridSpan w:val="3"/>
            <w:shd w:val="clear" w:color="auto" w:fill="auto"/>
            <w:vAlign w:val="center"/>
          </w:tcPr>
          <w:p w:rsidR="007A70E5" w:rsidRPr="001402FA" w:rsidRDefault="00F934F0" w:rsidP="00D030AA">
            <w:pPr>
              <w:rPr>
                <w:sz w:val="20"/>
                <w:szCs w:val="20"/>
                <w:lang w:val="en-US"/>
              </w:rPr>
            </w:pPr>
            <w:r w:rsidRPr="001402FA">
              <w:rPr>
                <w:sz w:val="20"/>
                <w:szCs w:val="20"/>
                <w:lang w:val="en-US"/>
              </w:rPr>
              <w:t>943.</w:t>
            </w:r>
            <w:r w:rsidR="007A70E5" w:rsidRPr="001402FA">
              <w:rPr>
                <w:sz w:val="20"/>
                <w:szCs w:val="20"/>
                <w:lang w:val="en-US"/>
              </w:rPr>
              <w:t>0</w:t>
            </w:r>
          </w:p>
        </w:tc>
      </w:tr>
      <w:tr w:rsidR="007A70E5" w:rsidRPr="001402FA" w:rsidTr="00D030AA">
        <w:tc>
          <w:tcPr>
            <w:tcW w:w="5788" w:type="dxa"/>
            <w:gridSpan w:val="4"/>
            <w:shd w:val="clear" w:color="auto" w:fill="auto"/>
            <w:vAlign w:val="center"/>
          </w:tcPr>
          <w:p w:rsidR="007A70E5" w:rsidRPr="001402FA" w:rsidRDefault="00F934F0" w:rsidP="00D030AA">
            <w:pPr>
              <w:rPr>
                <w:sz w:val="20"/>
                <w:szCs w:val="20"/>
                <w:lang w:val="en-US"/>
              </w:rPr>
            </w:pPr>
            <w:r w:rsidRPr="001402FA">
              <w:rPr>
                <w:sz w:val="20"/>
                <w:szCs w:val="20"/>
                <w:lang w:val="en-US"/>
              </w:rPr>
              <w:t>boiler house</w:t>
            </w:r>
          </w:p>
        </w:tc>
        <w:tc>
          <w:tcPr>
            <w:tcW w:w="5109" w:type="dxa"/>
            <w:gridSpan w:val="3"/>
            <w:shd w:val="clear" w:color="auto" w:fill="auto"/>
            <w:vAlign w:val="center"/>
          </w:tcPr>
          <w:p w:rsidR="007A70E5" w:rsidRPr="001402FA" w:rsidRDefault="00F934F0" w:rsidP="00D030AA">
            <w:pPr>
              <w:rPr>
                <w:sz w:val="20"/>
                <w:szCs w:val="20"/>
                <w:lang w:val="en-US"/>
              </w:rPr>
            </w:pPr>
            <w:r w:rsidRPr="001402FA">
              <w:rPr>
                <w:sz w:val="20"/>
                <w:szCs w:val="20"/>
                <w:lang w:val="en-US"/>
              </w:rPr>
              <w:t>154.</w:t>
            </w:r>
            <w:r w:rsidR="007A70E5" w:rsidRPr="001402FA">
              <w:rPr>
                <w:sz w:val="20"/>
                <w:szCs w:val="20"/>
                <w:lang w:val="en-US"/>
              </w:rPr>
              <w:t>9</w:t>
            </w:r>
          </w:p>
        </w:tc>
      </w:tr>
      <w:tr w:rsidR="007A70E5" w:rsidRPr="001402FA" w:rsidTr="00D030AA">
        <w:tc>
          <w:tcPr>
            <w:tcW w:w="5788" w:type="dxa"/>
            <w:gridSpan w:val="4"/>
            <w:shd w:val="clear" w:color="auto" w:fill="auto"/>
            <w:vAlign w:val="center"/>
          </w:tcPr>
          <w:p w:rsidR="007A70E5" w:rsidRPr="001402FA" w:rsidRDefault="00F934F0" w:rsidP="00D030AA">
            <w:pPr>
              <w:rPr>
                <w:sz w:val="20"/>
                <w:szCs w:val="20"/>
                <w:lang w:val="en-US"/>
              </w:rPr>
            </w:pPr>
            <w:r w:rsidRPr="001402FA">
              <w:rPr>
                <w:sz w:val="20"/>
                <w:szCs w:val="20"/>
                <w:lang w:val="en-US"/>
              </w:rPr>
              <w:t>station service</w:t>
            </w:r>
          </w:p>
        </w:tc>
        <w:tc>
          <w:tcPr>
            <w:tcW w:w="5109" w:type="dxa"/>
            <w:gridSpan w:val="3"/>
            <w:shd w:val="clear" w:color="auto" w:fill="auto"/>
            <w:vAlign w:val="center"/>
          </w:tcPr>
          <w:p w:rsidR="007A70E5" w:rsidRPr="001402FA" w:rsidRDefault="00F934F0" w:rsidP="00D030AA">
            <w:pPr>
              <w:rPr>
                <w:sz w:val="20"/>
                <w:szCs w:val="20"/>
                <w:lang w:val="en-US"/>
              </w:rPr>
            </w:pPr>
            <w:r w:rsidRPr="001402FA">
              <w:rPr>
                <w:sz w:val="20"/>
                <w:szCs w:val="20"/>
                <w:lang w:val="en-US"/>
              </w:rPr>
              <w:t>1,110.</w:t>
            </w:r>
            <w:r w:rsidR="007A70E5" w:rsidRPr="001402FA">
              <w:rPr>
                <w:sz w:val="20"/>
                <w:szCs w:val="20"/>
                <w:lang w:val="en-US"/>
              </w:rPr>
              <w:t>5</w:t>
            </w:r>
          </w:p>
        </w:tc>
      </w:tr>
      <w:tr w:rsidR="007A70E5" w:rsidRPr="001402FA" w:rsidTr="00D030AA">
        <w:tc>
          <w:tcPr>
            <w:tcW w:w="5788" w:type="dxa"/>
            <w:gridSpan w:val="4"/>
            <w:shd w:val="clear" w:color="auto" w:fill="auto"/>
            <w:vAlign w:val="center"/>
          </w:tcPr>
          <w:p w:rsidR="007A70E5" w:rsidRPr="001402FA" w:rsidRDefault="000C5A41" w:rsidP="00D030AA">
            <w:pPr>
              <w:rPr>
                <w:sz w:val="20"/>
                <w:szCs w:val="20"/>
                <w:lang w:val="en-US"/>
              </w:rPr>
            </w:pPr>
            <w:r w:rsidRPr="001402FA">
              <w:rPr>
                <w:sz w:val="20"/>
                <w:szCs w:val="20"/>
                <w:lang w:val="en-US"/>
              </w:rPr>
              <w:t>garage - parking</w:t>
            </w:r>
          </w:p>
        </w:tc>
        <w:tc>
          <w:tcPr>
            <w:tcW w:w="5109" w:type="dxa"/>
            <w:gridSpan w:val="3"/>
            <w:shd w:val="clear" w:color="auto" w:fill="auto"/>
            <w:vAlign w:val="center"/>
          </w:tcPr>
          <w:p w:rsidR="007A70E5" w:rsidRPr="001402FA" w:rsidRDefault="000C5A41" w:rsidP="00D030AA">
            <w:pPr>
              <w:rPr>
                <w:sz w:val="20"/>
                <w:szCs w:val="20"/>
                <w:lang w:val="en-US"/>
              </w:rPr>
            </w:pPr>
            <w:r w:rsidRPr="001402FA">
              <w:rPr>
                <w:sz w:val="20"/>
                <w:szCs w:val="20"/>
                <w:lang w:val="en-US"/>
              </w:rPr>
              <w:t>556.</w:t>
            </w:r>
            <w:r w:rsidR="007A70E5" w:rsidRPr="001402FA">
              <w:rPr>
                <w:sz w:val="20"/>
                <w:szCs w:val="20"/>
                <w:lang w:val="en-US"/>
              </w:rPr>
              <w:t>5</w:t>
            </w:r>
          </w:p>
        </w:tc>
      </w:tr>
      <w:tr w:rsidR="007A70E5" w:rsidRPr="001402FA" w:rsidTr="00D030AA">
        <w:tc>
          <w:tcPr>
            <w:tcW w:w="5788" w:type="dxa"/>
            <w:gridSpan w:val="4"/>
            <w:shd w:val="clear" w:color="auto" w:fill="auto"/>
            <w:vAlign w:val="center"/>
          </w:tcPr>
          <w:p w:rsidR="007A70E5" w:rsidRPr="001402FA" w:rsidRDefault="000C5A41" w:rsidP="00D030AA">
            <w:pPr>
              <w:rPr>
                <w:sz w:val="20"/>
                <w:szCs w:val="20"/>
                <w:lang w:val="en-US"/>
              </w:rPr>
            </w:pPr>
            <w:r w:rsidRPr="001402FA">
              <w:rPr>
                <w:sz w:val="20"/>
                <w:szCs w:val="20"/>
                <w:lang w:val="en-US"/>
              </w:rPr>
              <w:t>fuel warehouse</w:t>
            </w:r>
          </w:p>
        </w:tc>
        <w:tc>
          <w:tcPr>
            <w:tcW w:w="5109" w:type="dxa"/>
            <w:gridSpan w:val="3"/>
            <w:shd w:val="clear" w:color="auto" w:fill="auto"/>
            <w:vAlign w:val="center"/>
          </w:tcPr>
          <w:p w:rsidR="007A70E5" w:rsidRPr="001402FA" w:rsidRDefault="000C5A41" w:rsidP="00D030AA">
            <w:pPr>
              <w:rPr>
                <w:sz w:val="20"/>
                <w:szCs w:val="20"/>
                <w:lang w:val="en-US"/>
              </w:rPr>
            </w:pPr>
            <w:r w:rsidRPr="001402FA">
              <w:rPr>
                <w:sz w:val="20"/>
                <w:szCs w:val="20"/>
                <w:lang w:val="en-US"/>
              </w:rPr>
              <w:t>24.</w:t>
            </w:r>
            <w:r w:rsidR="007A70E5" w:rsidRPr="001402FA">
              <w:rPr>
                <w:sz w:val="20"/>
                <w:szCs w:val="20"/>
                <w:lang w:val="en-US"/>
              </w:rPr>
              <w:t>4</w:t>
            </w:r>
          </w:p>
        </w:tc>
      </w:tr>
      <w:tr w:rsidR="007A70E5" w:rsidRPr="001402FA" w:rsidTr="00D030AA">
        <w:tc>
          <w:tcPr>
            <w:tcW w:w="5788" w:type="dxa"/>
            <w:gridSpan w:val="4"/>
            <w:shd w:val="clear" w:color="auto" w:fill="auto"/>
            <w:vAlign w:val="center"/>
          </w:tcPr>
          <w:p w:rsidR="007A70E5" w:rsidRPr="001402FA" w:rsidRDefault="002D77E7" w:rsidP="00D030AA">
            <w:pPr>
              <w:rPr>
                <w:sz w:val="20"/>
                <w:szCs w:val="20"/>
                <w:lang w:val="en-US"/>
              </w:rPr>
            </w:pPr>
            <w:r w:rsidRPr="001402FA">
              <w:rPr>
                <w:sz w:val="20"/>
                <w:szCs w:val="20"/>
                <w:lang w:val="en-US"/>
              </w:rPr>
              <w:t>administrative building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readiness 88%</w:t>
            </w:r>
          </w:p>
        </w:tc>
      </w:tr>
      <w:tr w:rsidR="007A70E5" w:rsidRPr="001402FA" w:rsidTr="00D030AA">
        <w:tc>
          <w:tcPr>
            <w:tcW w:w="5788" w:type="dxa"/>
            <w:gridSpan w:val="4"/>
            <w:shd w:val="clear" w:color="auto" w:fill="auto"/>
            <w:vAlign w:val="center"/>
          </w:tcPr>
          <w:p w:rsidR="007A70E5" w:rsidRPr="001402FA" w:rsidRDefault="0002447C" w:rsidP="00D030AA">
            <w:pPr>
              <w:rPr>
                <w:sz w:val="20"/>
                <w:szCs w:val="20"/>
                <w:lang w:val="en-US"/>
              </w:rPr>
            </w:pPr>
            <w:r w:rsidRPr="001402FA">
              <w:rPr>
                <w:sz w:val="20"/>
                <w:szCs w:val="20"/>
                <w:lang w:val="en-US"/>
              </w:rPr>
              <w:t>canteen building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63%</w:t>
            </w:r>
          </w:p>
        </w:tc>
      </w:tr>
      <w:tr w:rsidR="007A70E5" w:rsidRPr="001402FA" w:rsidTr="00D030AA">
        <w:tc>
          <w:tcPr>
            <w:tcW w:w="5788" w:type="dxa"/>
            <w:gridSpan w:val="4"/>
            <w:shd w:val="clear" w:color="auto" w:fill="auto"/>
            <w:vAlign w:val="center"/>
          </w:tcPr>
          <w:p w:rsidR="007A70E5" w:rsidRPr="001402FA" w:rsidRDefault="00814528" w:rsidP="00D030AA">
            <w:pPr>
              <w:rPr>
                <w:sz w:val="20"/>
                <w:szCs w:val="20"/>
                <w:lang w:val="en-US"/>
              </w:rPr>
            </w:pPr>
            <w:r w:rsidRPr="001402FA">
              <w:rPr>
                <w:sz w:val="20"/>
                <w:szCs w:val="20"/>
                <w:lang w:val="en-US"/>
              </w:rPr>
              <w:t>welding laboratory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814528" w:rsidP="00D030AA">
            <w:pPr>
              <w:rPr>
                <w:sz w:val="20"/>
                <w:szCs w:val="20"/>
                <w:lang w:val="en-US"/>
              </w:rPr>
            </w:pPr>
            <w:r w:rsidRPr="001402FA">
              <w:rPr>
                <w:sz w:val="20"/>
                <w:szCs w:val="20"/>
                <w:lang w:val="en-US"/>
              </w:rPr>
              <w:t>cleaning unit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814528" w:rsidP="00D030AA">
            <w:pPr>
              <w:rPr>
                <w:sz w:val="20"/>
                <w:szCs w:val="20"/>
                <w:lang w:val="en-US"/>
              </w:rPr>
            </w:pPr>
            <w:r w:rsidRPr="001402FA">
              <w:rPr>
                <w:sz w:val="20"/>
                <w:szCs w:val="20"/>
                <w:lang w:val="en-US"/>
              </w:rPr>
              <w:t>auxiliary room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90%</w:t>
            </w:r>
          </w:p>
        </w:tc>
      </w:tr>
      <w:tr w:rsidR="007A70E5" w:rsidRPr="001402FA" w:rsidTr="00D030AA">
        <w:tc>
          <w:tcPr>
            <w:tcW w:w="5788" w:type="dxa"/>
            <w:gridSpan w:val="4"/>
            <w:shd w:val="clear" w:color="auto" w:fill="auto"/>
            <w:vAlign w:val="center"/>
          </w:tcPr>
          <w:p w:rsidR="007A70E5" w:rsidRPr="001402FA" w:rsidRDefault="00814528" w:rsidP="00D030AA">
            <w:pPr>
              <w:rPr>
                <w:sz w:val="20"/>
                <w:szCs w:val="20"/>
                <w:lang w:val="en-US"/>
              </w:rPr>
            </w:pPr>
            <w:r w:rsidRPr="001402FA">
              <w:rPr>
                <w:sz w:val="20"/>
                <w:szCs w:val="20"/>
                <w:lang w:val="en-US"/>
              </w:rPr>
              <w:t>receiving chamber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357F80" w:rsidP="00357F80">
            <w:pPr>
              <w:rPr>
                <w:sz w:val="20"/>
                <w:szCs w:val="20"/>
                <w:lang w:val="en-US"/>
              </w:rPr>
            </w:pPr>
            <w:r w:rsidRPr="001402FA">
              <w:rPr>
                <w:sz w:val="20"/>
                <w:szCs w:val="20"/>
                <w:lang w:val="en-US"/>
              </w:rPr>
              <w:t>painting department (unfinished construction</w:t>
            </w:r>
            <w:r w:rsidR="007A70E5" w:rsidRPr="001402FA">
              <w:rPr>
                <w:sz w:val="20"/>
                <w:szCs w:val="20"/>
                <w:lang w:val="en-US"/>
              </w:rPr>
              <w:t>)</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gas control point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warehouse for storage of varnishes and paints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oxygen storage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87%</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ventilation cooling tower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60%</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settling tank unit №1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56%</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settling tank unit №2 (unfinished construction)</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 xml:space="preserve">readiness </w:t>
            </w:r>
            <w:r w:rsidR="007A70E5" w:rsidRPr="001402FA">
              <w:rPr>
                <w:sz w:val="20"/>
                <w:szCs w:val="20"/>
                <w:lang w:val="en-US"/>
              </w:rPr>
              <w:t>56%</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railways</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7,800.</w:t>
            </w:r>
            <w:r w:rsidR="007A70E5" w:rsidRPr="001402FA">
              <w:rPr>
                <w:sz w:val="20"/>
                <w:szCs w:val="20"/>
                <w:lang w:val="en-US"/>
              </w:rPr>
              <w:t>8</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on-site roads</w:t>
            </w:r>
          </w:p>
        </w:tc>
        <w:tc>
          <w:tcPr>
            <w:tcW w:w="5109" w:type="dxa"/>
            <w:gridSpan w:val="3"/>
            <w:shd w:val="clear" w:color="auto" w:fill="auto"/>
            <w:vAlign w:val="center"/>
          </w:tcPr>
          <w:p w:rsidR="007A70E5" w:rsidRPr="001402FA" w:rsidRDefault="002D77E7" w:rsidP="00D030AA">
            <w:pPr>
              <w:rPr>
                <w:sz w:val="20"/>
                <w:szCs w:val="20"/>
                <w:lang w:val="en-US"/>
              </w:rPr>
            </w:pPr>
            <w:r w:rsidRPr="001402FA">
              <w:rPr>
                <w:sz w:val="20"/>
                <w:szCs w:val="20"/>
                <w:lang w:val="en-US"/>
              </w:rPr>
              <w:t>6,714.</w:t>
            </w:r>
            <w:r w:rsidR="007A70E5" w:rsidRPr="001402FA">
              <w:rPr>
                <w:sz w:val="20"/>
                <w:szCs w:val="20"/>
                <w:lang w:val="en-US"/>
              </w:rPr>
              <w:t>0</w:t>
            </w:r>
          </w:p>
        </w:tc>
      </w:tr>
      <w:tr w:rsidR="007A70E5" w:rsidRPr="001402FA" w:rsidTr="00D030AA">
        <w:tc>
          <w:tcPr>
            <w:tcW w:w="5788" w:type="dxa"/>
            <w:gridSpan w:val="4"/>
            <w:shd w:val="clear" w:color="auto" w:fill="auto"/>
            <w:vAlign w:val="center"/>
          </w:tcPr>
          <w:p w:rsidR="007A70E5" w:rsidRPr="001402FA" w:rsidRDefault="00C73661" w:rsidP="00D030AA">
            <w:pPr>
              <w:rPr>
                <w:sz w:val="20"/>
                <w:szCs w:val="20"/>
                <w:lang w:val="en-US"/>
              </w:rPr>
            </w:pPr>
            <w:r w:rsidRPr="001402FA">
              <w:rPr>
                <w:sz w:val="20"/>
                <w:szCs w:val="20"/>
                <w:lang w:val="en-US"/>
              </w:rPr>
              <w:t>fence</w:t>
            </w:r>
            <w:r w:rsidR="007A70E5" w:rsidRPr="001402FA">
              <w:rPr>
                <w:sz w:val="20"/>
                <w:szCs w:val="20"/>
                <w:lang w:val="en-US"/>
              </w:rPr>
              <w:t xml:space="preserve"> №1-7</w:t>
            </w:r>
          </w:p>
        </w:tc>
        <w:tc>
          <w:tcPr>
            <w:tcW w:w="5109" w:type="dxa"/>
            <w:gridSpan w:val="3"/>
            <w:shd w:val="clear" w:color="auto" w:fill="auto"/>
          </w:tcPr>
          <w:p w:rsidR="007A70E5" w:rsidRPr="001402FA" w:rsidRDefault="007A70E5" w:rsidP="00D030AA">
            <w:pPr>
              <w:rPr>
                <w:bCs/>
                <w:sz w:val="20"/>
                <w:szCs w:val="20"/>
                <w:lang w:val="en-US"/>
              </w:rPr>
            </w:pPr>
          </w:p>
        </w:tc>
      </w:tr>
    </w:tbl>
    <w:p w:rsidR="00816102" w:rsidRPr="00816102" w:rsidRDefault="00816102" w:rsidP="00816102">
      <w:pPr>
        <w:jc w:val="both"/>
        <w:rPr>
          <w:b/>
          <w:lang w:val="en-US"/>
        </w:rPr>
      </w:pPr>
    </w:p>
    <w:p w:rsidR="00105D3A" w:rsidRPr="0070676C" w:rsidRDefault="009B1EC8" w:rsidP="0025573D">
      <w:pPr>
        <w:jc w:val="both"/>
        <w:rPr>
          <w:lang w:val="en-US"/>
        </w:rPr>
      </w:pPr>
      <w:r>
        <w:rPr>
          <w:b/>
          <w:lang w:val="en-US"/>
        </w:rPr>
        <w:t xml:space="preserve">The </w:t>
      </w:r>
      <w:r w:rsidR="007C538B">
        <w:rPr>
          <w:b/>
          <w:lang w:val="en-US"/>
        </w:rPr>
        <w:t>object consists</w:t>
      </w:r>
      <w:r>
        <w:rPr>
          <w:b/>
          <w:lang w:val="en-US"/>
        </w:rPr>
        <w:t xml:space="preserve"> of </w:t>
      </w:r>
      <w:r w:rsidR="00FB1357" w:rsidRPr="00FB1357">
        <w:rPr>
          <w:lang w:val="en-US"/>
        </w:rPr>
        <w:t>10 inventory units of wheeled vehicles (there are no originals of technical documentation for vehicles, only copies for 9 units of vehicles are available) and 1027 inventory units of equipment and inventory.</w:t>
      </w:r>
    </w:p>
    <w:p w:rsidR="00F061B5" w:rsidRDefault="00E40D6D" w:rsidP="00194DF0">
      <w:pPr>
        <w:jc w:val="both"/>
        <w:rPr>
          <w:b/>
          <w:bCs/>
          <w:lang w:val="en-US"/>
        </w:rPr>
      </w:pPr>
      <w:r w:rsidRPr="0070676C">
        <w:rPr>
          <w:b/>
          <w:bCs/>
          <w:lang w:val="en-US"/>
        </w:rPr>
        <w:t>Information on land plot</w:t>
      </w:r>
      <w:r w:rsidR="00194DF0" w:rsidRPr="0070676C">
        <w:rPr>
          <w:b/>
          <w:bCs/>
          <w:lang w:val="en-US"/>
        </w:rPr>
        <w:t>s</w:t>
      </w:r>
      <w:r w:rsidRPr="0070676C">
        <w:rPr>
          <w:b/>
          <w:bCs/>
          <w:lang w:val="en-US"/>
        </w:rPr>
        <w:t xml:space="preserve">: </w:t>
      </w:r>
    </w:p>
    <w:tbl>
      <w:tblPr>
        <w:tblW w:w="110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701"/>
        <w:gridCol w:w="1134"/>
        <w:gridCol w:w="2409"/>
        <w:gridCol w:w="1847"/>
        <w:gridCol w:w="2220"/>
      </w:tblGrid>
      <w:tr w:rsidR="00311F67" w:rsidRPr="00A44064" w:rsidTr="00D030AA">
        <w:trPr>
          <w:trHeight w:val="1215"/>
        </w:trPr>
        <w:tc>
          <w:tcPr>
            <w:tcW w:w="1713" w:type="dxa"/>
            <w:vMerge w:val="restart"/>
            <w:shd w:val="clear" w:color="auto" w:fill="auto"/>
            <w:vAlign w:val="center"/>
          </w:tcPr>
          <w:p w:rsidR="00311F67" w:rsidRPr="00311F67" w:rsidRDefault="00311F67" w:rsidP="00D030AA">
            <w:pPr>
              <w:jc w:val="center"/>
              <w:rPr>
                <w:b/>
                <w:bCs/>
                <w:sz w:val="20"/>
                <w:szCs w:val="20"/>
                <w:lang w:val="en-US"/>
              </w:rPr>
            </w:pPr>
            <w:r>
              <w:rPr>
                <w:b/>
                <w:bCs/>
                <w:sz w:val="20"/>
                <w:szCs w:val="20"/>
                <w:lang w:val="en-US"/>
              </w:rPr>
              <w:t>Name</w:t>
            </w:r>
          </w:p>
        </w:tc>
        <w:tc>
          <w:tcPr>
            <w:tcW w:w="1701" w:type="dxa"/>
            <w:vMerge w:val="restart"/>
            <w:shd w:val="clear" w:color="auto" w:fill="auto"/>
            <w:vAlign w:val="center"/>
          </w:tcPr>
          <w:p w:rsidR="00311F67" w:rsidRPr="00D421A1" w:rsidRDefault="00311F67" w:rsidP="00D030AA">
            <w:pPr>
              <w:jc w:val="center"/>
              <w:rPr>
                <w:b/>
                <w:bCs/>
                <w:sz w:val="20"/>
                <w:szCs w:val="20"/>
              </w:rPr>
            </w:pPr>
            <w:r w:rsidRPr="001402FA">
              <w:rPr>
                <w:bCs/>
                <w:lang w:val="en-US"/>
              </w:rPr>
              <w:t>Location address</w:t>
            </w:r>
          </w:p>
        </w:tc>
        <w:tc>
          <w:tcPr>
            <w:tcW w:w="1134" w:type="dxa"/>
            <w:vMerge w:val="restart"/>
            <w:shd w:val="clear" w:color="auto" w:fill="auto"/>
            <w:vAlign w:val="center"/>
          </w:tcPr>
          <w:p w:rsidR="00311F67" w:rsidRPr="00D421A1" w:rsidRDefault="00311F67" w:rsidP="00D030AA">
            <w:pPr>
              <w:jc w:val="center"/>
              <w:rPr>
                <w:b/>
                <w:bCs/>
                <w:sz w:val="20"/>
                <w:szCs w:val="20"/>
              </w:rPr>
            </w:pPr>
            <w:r>
              <w:rPr>
                <w:b/>
                <w:bCs/>
                <w:sz w:val="20"/>
                <w:szCs w:val="20"/>
                <w:lang w:val="en-US"/>
              </w:rPr>
              <w:t>Area</w:t>
            </w:r>
            <w:r w:rsidRPr="00311F67">
              <w:rPr>
                <w:b/>
                <w:bCs/>
                <w:sz w:val="20"/>
                <w:szCs w:val="20"/>
              </w:rPr>
              <w:t xml:space="preserve"> </w:t>
            </w:r>
            <w:r>
              <w:rPr>
                <w:b/>
                <w:bCs/>
                <w:sz w:val="20"/>
                <w:szCs w:val="20"/>
                <w:lang w:val="en-US"/>
              </w:rPr>
              <w:t>of</w:t>
            </w:r>
            <w:r w:rsidRPr="00311F67">
              <w:rPr>
                <w:b/>
                <w:bCs/>
                <w:sz w:val="20"/>
                <w:szCs w:val="20"/>
              </w:rPr>
              <w:t xml:space="preserve"> </w:t>
            </w:r>
            <w:r>
              <w:rPr>
                <w:b/>
                <w:bCs/>
                <w:sz w:val="20"/>
                <w:szCs w:val="20"/>
                <w:lang w:val="en-US"/>
              </w:rPr>
              <w:t>land</w:t>
            </w:r>
            <w:r w:rsidRPr="00311F67">
              <w:rPr>
                <w:b/>
                <w:bCs/>
                <w:sz w:val="20"/>
                <w:szCs w:val="20"/>
              </w:rPr>
              <w:t xml:space="preserve"> </w:t>
            </w:r>
            <w:r>
              <w:rPr>
                <w:b/>
                <w:bCs/>
                <w:sz w:val="20"/>
                <w:szCs w:val="20"/>
                <w:lang w:val="en-US"/>
              </w:rPr>
              <w:t>plot</w:t>
            </w:r>
            <w:r>
              <w:rPr>
                <w:b/>
                <w:bCs/>
                <w:sz w:val="20"/>
                <w:szCs w:val="20"/>
              </w:rPr>
              <w:t xml:space="preserve"> (</w:t>
            </w:r>
            <w:r>
              <w:rPr>
                <w:b/>
                <w:bCs/>
                <w:sz w:val="20"/>
                <w:szCs w:val="20"/>
                <w:lang w:val="en-US"/>
              </w:rPr>
              <w:t>sq</w:t>
            </w:r>
            <w:r w:rsidRPr="00311F67">
              <w:rPr>
                <w:b/>
                <w:bCs/>
                <w:sz w:val="20"/>
                <w:szCs w:val="20"/>
              </w:rPr>
              <w:t xml:space="preserve">. </w:t>
            </w:r>
            <w:r>
              <w:rPr>
                <w:b/>
                <w:bCs/>
                <w:sz w:val="20"/>
                <w:szCs w:val="20"/>
                <w:lang w:val="en-US"/>
              </w:rPr>
              <w:t>m</w:t>
            </w:r>
            <w:r w:rsidRPr="00D421A1">
              <w:rPr>
                <w:b/>
                <w:bCs/>
                <w:sz w:val="20"/>
                <w:szCs w:val="20"/>
              </w:rPr>
              <w:t>.)</w:t>
            </w:r>
          </w:p>
        </w:tc>
        <w:tc>
          <w:tcPr>
            <w:tcW w:w="2409" w:type="dxa"/>
            <w:vMerge w:val="restart"/>
            <w:shd w:val="clear" w:color="auto" w:fill="auto"/>
            <w:vAlign w:val="center"/>
          </w:tcPr>
          <w:p w:rsidR="00311F67" w:rsidRPr="00D421A1" w:rsidRDefault="001D018A" w:rsidP="00D030AA">
            <w:pPr>
              <w:jc w:val="center"/>
              <w:rPr>
                <w:b/>
                <w:bCs/>
                <w:sz w:val="20"/>
                <w:szCs w:val="20"/>
              </w:rPr>
            </w:pPr>
            <w:proofErr w:type="spellStart"/>
            <w:r w:rsidRPr="001D018A">
              <w:rPr>
                <w:b/>
                <w:bCs/>
                <w:sz w:val="20"/>
                <w:szCs w:val="20"/>
              </w:rPr>
              <w:t>Cadastral</w:t>
            </w:r>
            <w:proofErr w:type="spellEnd"/>
            <w:r w:rsidRPr="001D018A">
              <w:rPr>
                <w:b/>
                <w:bCs/>
                <w:sz w:val="20"/>
                <w:szCs w:val="20"/>
              </w:rPr>
              <w:t xml:space="preserve"> </w:t>
            </w:r>
            <w:proofErr w:type="spellStart"/>
            <w:r w:rsidRPr="001D018A">
              <w:rPr>
                <w:b/>
                <w:bCs/>
                <w:sz w:val="20"/>
                <w:szCs w:val="20"/>
              </w:rPr>
              <w:t>number</w:t>
            </w:r>
            <w:proofErr w:type="spellEnd"/>
            <w:r w:rsidRPr="001D018A">
              <w:rPr>
                <w:b/>
                <w:bCs/>
                <w:sz w:val="20"/>
                <w:szCs w:val="20"/>
              </w:rPr>
              <w:t xml:space="preserve"> </w:t>
            </w:r>
            <w:proofErr w:type="spellStart"/>
            <w:r w:rsidRPr="001D018A">
              <w:rPr>
                <w:b/>
                <w:bCs/>
                <w:sz w:val="20"/>
                <w:szCs w:val="20"/>
              </w:rPr>
              <w:t>of</w:t>
            </w:r>
            <w:proofErr w:type="spellEnd"/>
            <w:r w:rsidRPr="001D018A">
              <w:rPr>
                <w:b/>
                <w:bCs/>
                <w:sz w:val="20"/>
                <w:szCs w:val="20"/>
              </w:rPr>
              <w:t xml:space="preserve"> </w:t>
            </w:r>
            <w:proofErr w:type="spellStart"/>
            <w:r w:rsidRPr="001D018A">
              <w:rPr>
                <w:b/>
                <w:bCs/>
                <w:sz w:val="20"/>
                <w:szCs w:val="20"/>
              </w:rPr>
              <w:t>the</w:t>
            </w:r>
            <w:proofErr w:type="spellEnd"/>
            <w:r w:rsidRPr="001D018A">
              <w:rPr>
                <w:b/>
                <w:bCs/>
                <w:sz w:val="20"/>
                <w:szCs w:val="20"/>
              </w:rPr>
              <w:t xml:space="preserve"> </w:t>
            </w:r>
            <w:proofErr w:type="spellStart"/>
            <w:r w:rsidRPr="001D018A">
              <w:rPr>
                <w:b/>
                <w:bCs/>
                <w:sz w:val="20"/>
                <w:szCs w:val="20"/>
              </w:rPr>
              <w:t>land</w:t>
            </w:r>
            <w:proofErr w:type="spellEnd"/>
            <w:r w:rsidRPr="001D018A">
              <w:rPr>
                <w:b/>
                <w:bCs/>
                <w:sz w:val="20"/>
                <w:szCs w:val="20"/>
              </w:rPr>
              <w:t xml:space="preserve"> </w:t>
            </w:r>
            <w:proofErr w:type="spellStart"/>
            <w:r w:rsidRPr="001D018A">
              <w:rPr>
                <w:b/>
                <w:bCs/>
                <w:sz w:val="20"/>
                <w:szCs w:val="20"/>
              </w:rPr>
              <w:t>plot</w:t>
            </w:r>
            <w:proofErr w:type="spellEnd"/>
          </w:p>
        </w:tc>
        <w:tc>
          <w:tcPr>
            <w:tcW w:w="1847" w:type="dxa"/>
            <w:vMerge w:val="restart"/>
            <w:shd w:val="clear" w:color="auto" w:fill="auto"/>
            <w:vAlign w:val="center"/>
          </w:tcPr>
          <w:p w:rsidR="00311F67" w:rsidRPr="00D421A1" w:rsidRDefault="001D018A" w:rsidP="00D030AA">
            <w:pPr>
              <w:jc w:val="center"/>
              <w:rPr>
                <w:b/>
                <w:bCs/>
                <w:sz w:val="20"/>
                <w:szCs w:val="20"/>
              </w:rPr>
            </w:pPr>
            <w:proofErr w:type="spellStart"/>
            <w:r w:rsidRPr="001D018A">
              <w:rPr>
                <w:b/>
                <w:bCs/>
                <w:sz w:val="20"/>
                <w:szCs w:val="20"/>
              </w:rPr>
              <w:t>Purpose</w:t>
            </w:r>
            <w:proofErr w:type="spellEnd"/>
            <w:r w:rsidRPr="001D018A">
              <w:rPr>
                <w:b/>
                <w:bCs/>
                <w:sz w:val="20"/>
                <w:szCs w:val="20"/>
              </w:rPr>
              <w:t xml:space="preserve"> </w:t>
            </w:r>
            <w:proofErr w:type="spellStart"/>
            <w:r w:rsidRPr="001D018A">
              <w:rPr>
                <w:b/>
                <w:bCs/>
                <w:sz w:val="20"/>
                <w:szCs w:val="20"/>
              </w:rPr>
              <w:t>of</w:t>
            </w:r>
            <w:proofErr w:type="spellEnd"/>
            <w:r w:rsidRPr="001D018A">
              <w:rPr>
                <w:b/>
                <w:bCs/>
                <w:sz w:val="20"/>
                <w:szCs w:val="20"/>
              </w:rPr>
              <w:t xml:space="preserve"> </w:t>
            </w:r>
            <w:proofErr w:type="spellStart"/>
            <w:r w:rsidRPr="001D018A">
              <w:rPr>
                <w:b/>
                <w:bCs/>
                <w:sz w:val="20"/>
                <w:szCs w:val="20"/>
              </w:rPr>
              <w:t>the</w:t>
            </w:r>
            <w:proofErr w:type="spellEnd"/>
            <w:r w:rsidRPr="001D018A">
              <w:rPr>
                <w:b/>
                <w:bCs/>
                <w:sz w:val="20"/>
                <w:szCs w:val="20"/>
              </w:rPr>
              <w:t xml:space="preserve"> </w:t>
            </w:r>
            <w:proofErr w:type="spellStart"/>
            <w:r w:rsidRPr="001D018A">
              <w:rPr>
                <w:b/>
                <w:bCs/>
                <w:sz w:val="20"/>
                <w:szCs w:val="20"/>
              </w:rPr>
              <w:t>land</w:t>
            </w:r>
            <w:proofErr w:type="spellEnd"/>
            <w:r w:rsidRPr="001D018A">
              <w:rPr>
                <w:b/>
                <w:bCs/>
                <w:sz w:val="20"/>
                <w:szCs w:val="20"/>
              </w:rPr>
              <w:t xml:space="preserve"> </w:t>
            </w:r>
            <w:proofErr w:type="spellStart"/>
            <w:r w:rsidRPr="001D018A">
              <w:rPr>
                <w:b/>
                <w:bCs/>
                <w:sz w:val="20"/>
                <w:szCs w:val="20"/>
              </w:rPr>
              <w:t>plot</w:t>
            </w:r>
            <w:proofErr w:type="spellEnd"/>
          </w:p>
        </w:tc>
        <w:tc>
          <w:tcPr>
            <w:tcW w:w="2220" w:type="dxa"/>
            <w:vMerge w:val="restart"/>
            <w:shd w:val="clear" w:color="auto" w:fill="auto"/>
            <w:vAlign w:val="center"/>
          </w:tcPr>
          <w:p w:rsidR="00311F67" w:rsidRPr="00D421A1" w:rsidRDefault="00163B5C" w:rsidP="00D030AA">
            <w:pPr>
              <w:jc w:val="center"/>
              <w:rPr>
                <w:b/>
                <w:bCs/>
                <w:sz w:val="20"/>
                <w:szCs w:val="20"/>
              </w:rPr>
            </w:pPr>
            <w:proofErr w:type="spellStart"/>
            <w:r w:rsidRPr="00163B5C">
              <w:rPr>
                <w:b/>
                <w:bCs/>
                <w:sz w:val="20"/>
                <w:szCs w:val="20"/>
              </w:rPr>
              <w:t>Form</w:t>
            </w:r>
            <w:proofErr w:type="spellEnd"/>
            <w:r w:rsidRPr="00163B5C">
              <w:rPr>
                <w:b/>
                <w:bCs/>
                <w:sz w:val="20"/>
                <w:szCs w:val="20"/>
              </w:rPr>
              <w:t xml:space="preserve"> </w:t>
            </w:r>
            <w:proofErr w:type="spellStart"/>
            <w:r w:rsidRPr="00163B5C">
              <w:rPr>
                <w:b/>
                <w:bCs/>
                <w:sz w:val="20"/>
                <w:szCs w:val="20"/>
              </w:rPr>
              <w:t>of</w:t>
            </w:r>
            <w:proofErr w:type="spellEnd"/>
            <w:r w:rsidRPr="00163B5C">
              <w:rPr>
                <w:b/>
                <w:bCs/>
                <w:sz w:val="20"/>
                <w:szCs w:val="20"/>
              </w:rPr>
              <w:t xml:space="preserve"> </w:t>
            </w:r>
            <w:proofErr w:type="spellStart"/>
            <w:r w:rsidRPr="00163B5C">
              <w:rPr>
                <w:b/>
                <w:bCs/>
                <w:sz w:val="20"/>
                <w:szCs w:val="20"/>
              </w:rPr>
              <w:t>ownership</w:t>
            </w:r>
            <w:proofErr w:type="spellEnd"/>
            <w:r w:rsidRPr="00163B5C">
              <w:rPr>
                <w:b/>
                <w:bCs/>
                <w:sz w:val="20"/>
                <w:szCs w:val="20"/>
              </w:rPr>
              <w:t xml:space="preserve">, </w:t>
            </w:r>
            <w:proofErr w:type="spellStart"/>
            <w:r w:rsidRPr="00163B5C">
              <w:rPr>
                <w:b/>
                <w:bCs/>
                <w:sz w:val="20"/>
                <w:szCs w:val="20"/>
              </w:rPr>
              <w:t>basis</w:t>
            </w:r>
            <w:proofErr w:type="spellEnd"/>
            <w:r w:rsidRPr="00163B5C">
              <w:rPr>
                <w:b/>
                <w:bCs/>
                <w:sz w:val="20"/>
                <w:szCs w:val="20"/>
              </w:rPr>
              <w:t xml:space="preserve"> </w:t>
            </w:r>
            <w:proofErr w:type="spellStart"/>
            <w:r w:rsidRPr="00163B5C">
              <w:rPr>
                <w:b/>
                <w:bCs/>
                <w:sz w:val="20"/>
                <w:szCs w:val="20"/>
              </w:rPr>
              <w:t>for</w:t>
            </w:r>
            <w:proofErr w:type="spellEnd"/>
            <w:r w:rsidRPr="00163B5C">
              <w:rPr>
                <w:b/>
                <w:bCs/>
                <w:sz w:val="20"/>
                <w:szCs w:val="20"/>
              </w:rPr>
              <w:t xml:space="preserve"> </w:t>
            </w:r>
            <w:proofErr w:type="spellStart"/>
            <w:r w:rsidRPr="00163B5C">
              <w:rPr>
                <w:b/>
                <w:bCs/>
                <w:sz w:val="20"/>
                <w:szCs w:val="20"/>
              </w:rPr>
              <w:t>the</w:t>
            </w:r>
            <w:proofErr w:type="spellEnd"/>
            <w:r w:rsidRPr="00163B5C">
              <w:rPr>
                <w:b/>
                <w:bCs/>
                <w:sz w:val="20"/>
                <w:szCs w:val="20"/>
              </w:rPr>
              <w:t xml:space="preserve"> </w:t>
            </w:r>
            <w:proofErr w:type="spellStart"/>
            <w:r w:rsidRPr="00163B5C">
              <w:rPr>
                <w:b/>
                <w:bCs/>
                <w:sz w:val="20"/>
                <w:szCs w:val="20"/>
              </w:rPr>
              <w:t>right</w:t>
            </w:r>
            <w:proofErr w:type="spellEnd"/>
            <w:r w:rsidRPr="00163B5C">
              <w:rPr>
                <w:b/>
                <w:bCs/>
                <w:sz w:val="20"/>
                <w:szCs w:val="20"/>
              </w:rPr>
              <w:t xml:space="preserve"> </w:t>
            </w:r>
            <w:proofErr w:type="spellStart"/>
            <w:r w:rsidRPr="00163B5C">
              <w:rPr>
                <w:b/>
                <w:bCs/>
                <w:sz w:val="20"/>
                <w:szCs w:val="20"/>
              </w:rPr>
              <w:t>to</w:t>
            </w:r>
            <w:proofErr w:type="spellEnd"/>
            <w:r w:rsidRPr="00163B5C">
              <w:rPr>
                <w:b/>
                <w:bCs/>
                <w:sz w:val="20"/>
                <w:szCs w:val="20"/>
              </w:rPr>
              <w:t xml:space="preserve"> </w:t>
            </w:r>
            <w:proofErr w:type="spellStart"/>
            <w:r w:rsidRPr="00163B5C">
              <w:rPr>
                <w:b/>
                <w:bCs/>
                <w:sz w:val="20"/>
                <w:szCs w:val="20"/>
              </w:rPr>
              <w:t>use</w:t>
            </w:r>
            <w:proofErr w:type="spellEnd"/>
            <w:r w:rsidRPr="00163B5C">
              <w:rPr>
                <w:b/>
                <w:bCs/>
                <w:sz w:val="20"/>
                <w:szCs w:val="20"/>
              </w:rPr>
              <w:t xml:space="preserve"> a </w:t>
            </w:r>
            <w:proofErr w:type="spellStart"/>
            <w:r w:rsidRPr="00163B5C">
              <w:rPr>
                <w:b/>
                <w:bCs/>
                <w:sz w:val="20"/>
                <w:szCs w:val="20"/>
              </w:rPr>
              <w:t>land</w:t>
            </w:r>
            <w:proofErr w:type="spellEnd"/>
            <w:r w:rsidRPr="00163B5C">
              <w:rPr>
                <w:b/>
                <w:bCs/>
                <w:sz w:val="20"/>
                <w:szCs w:val="20"/>
              </w:rPr>
              <w:t xml:space="preserve"> </w:t>
            </w:r>
            <w:proofErr w:type="spellStart"/>
            <w:r w:rsidRPr="00163B5C">
              <w:rPr>
                <w:b/>
                <w:bCs/>
                <w:sz w:val="20"/>
                <w:szCs w:val="20"/>
              </w:rPr>
              <w:t>plot</w:t>
            </w:r>
            <w:proofErr w:type="spellEnd"/>
            <w:r w:rsidRPr="00163B5C">
              <w:rPr>
                <w:b/>
                <w:bCs/>
                <w:sz w:val="20"/>
                <w:szCs w:val="20"/>
              </w:rPr>
              <w:t xml:space="preserve">, </w:t>
            </w:r>
            <w:proofErr w:type="spellStart"/>
            <w:r w:rsidRPr="00163B5C">
              <w:rPr>
                <w:b/>
                <w:bCs/>
                <w:sz w:val="20"/>
                <w:szCs w:val="20"/>
              </w:rPr>
              <w:t>information</w:t>
            </w:r>
            <w:proofErr w:type="spellEnd"/>
            <w:r w:rsidRPr="00163B5C">
              <w:rPr>
                <w:b/>
                <w:bCs/>
                <w:sz w:val="20"/>
                <w:szCs w:val="20"/>
              </w:rPr>
              <w:t xml:space="preserve"> </w:t>
            </w:r>
            <w:proofErr w:type="spellStart"/>
            <w:r w:rsidRPr="00163B5C">
              <w:rPr>
                <w:b/>
                <w:bCs/>
                <w:sz w:val="20"/>
                <w:szCs w:val="20"/>
              </w:rPr>
              <w:t>on</w:t>
            </w:r>
            <w:proofErr w:type="spellEnd"/>
            <w:r w:rsidRPr="00163B5C">
              <w:rPr>
                <w:b/>
                <w:bCs/>
                <w:sz w:val="20"/>
                <w:szCs w:val="20"/>
              </w:rPr>
              <w:t xml:space="preserve"> </w:t>
            </w:r>
            <w:proofErr w:type="spellStart"/>
            <w:r w:rsidRPr="00163B5C">
              <w:rPr>
                <w:b/>
                <w:bCs/>
                <w:sz w:val="20"/>
                <w:szCs w:val="20"/>
              </w:rPr>
              <w:t>encumbrances</w:t>
            </w:r>
            <w:proofErr w:type="spellEnd"/>
          </w:p>
        </w:tc>
      </w:tr>
      <w:tr w:rsidR="00311F67" w:rsidRPr="00A44064" w:rsidTr="00D030AA">
        <w:trPr>
          <w:trHeight w:val="458"/>
        </w:trPr>
        <w:tc>
          <w:tcPr>
            <w:tcW w:w="1713" w:type="dxa"/>
            <w:vMerge/>
            <w:vAlign w:val="center"/>
          </w:tcPr>
          <w:p w:rsidR="00311F67" w:rsidRPr="00A44064" w:rsidRDefault="00311F67" w:rsidP="00D030AA">
            <w:pPr>
              <w:rPr>
                <w:b/>
                <w:bCs/>
              </w:rPr>
            </w:pPr>
          </w:p>
        </w:tc>
        <w:tc>
          <w:tcPr>
            <w:tcW w:w="1701" w:type="dxa"/>
            <w:vMerge/>
            <w:vAlign w:val="center"/>
          </w:tcPr>
          <w:p w:rsidR="00311F67" w:rsidRPr="00A44064" w:rsidRDefault="00311F67" w:rsidP="00D030AA">
            <w:pPr>
              <w:rPr>
                <w:b/>
                <w:bCs/>
              </w:rPr>
            </w:pPr>
          </w:p>
        </w:tc>
        <w:tc>
          <w:tcPr>
            <w:tcW w:w="1134" w:type="dxa"/>
            <w:vMerge/>
            <w:vAlign w:val="center"/>
          </w:tcPr>
          <w:p w:rsidR="00311F67" w:rsidRPr="00A44064" w:rsidRDefault="00311F67" w:rsidP="00D030AA">
            <w:pPr>
              <w:rPr>
                <w:b/>
                <w:bCs/>
              </w:rPr>
            </w:pPr>
          </w:p>
        </w:tc>
        <w:tc>
          <w:tcPr>
            <w:tcW w:w="2409" w:type="dxa"/>
            <w:vMerge/>
            <w:vAlign w:val="center"/>
          </w:tcPr>
          <w:p w:rsidR="00311F67" w:rsidRPr="00A44064" w:rsidRDefault="00311F67" w:rsidP="00D030AA">
            <w:pPr>
              <w:rPr>
                <w:b/>
                <w:bCs/>
              </w:rPr>
            </w:pPr>
          </w:p>
        </w:tc>
        <w:tc>
          <w:tcPr>
            <w:tcW w:w="1847" w:type="dxa"/>
            <w:vMerge/>
            <w:vAlign w:val="center"/>
          </w:tcPr>
          <w:p w:rsidR="00311F67" w:rsidRPr="00A44064" w:rsidRDefault="00311F67" w:rsidP="00D030AA">
            <w:pPr>
              <w:rPr>
                <w:b/>
                <w:bCs/>
              </w:rPr>
            </w:pPr>
          </w:p>
        </w:tc>
        <w:tc>
          <w:tcPr>
            <w:tcW w:w="2220" w:type="dxa"/>
            <w:vMerge/>
            <w:vAlign w:val="center"/>
          </w:tcPr>
          <w:p w:rsidR="00311F67" w:rsidRPr="00A44064" w:rsidRDefault="00311F67" w:rsidP="00D030AA">
            <w:pPr>
              <w:rPr>
                <w:b/>
                <w:bCs/>
              </w:rPr>
            </w:pPr>
          </w:p>
        </w:tc>
      </w:tr>
      <w:tr w:rsidR="00311F67" w:rsidRPr="00A44064" w:rsidTr="00D030AA">
        <w:trPr>
          <w:trHeight w:val="406"/>
        </w:trPr>
        <w:tc>
          <w:tcPr>
            <w:tcW w:w="1713" w:type="dxa"/>
            <w:shd w:val="clear" w:color="auto" w:fill="auto"/>
            <w:vAlign w:val="center"/>
          </w:tcPr>
          <w:p w:rsidR="00311F67" w:rsidRPr="00163B5C" w:rsidRDefault="00163B5C" w:rsidP="00D030AA">
            <w:pPr>
              <w:jc w:val="center"/>
              <w:rPr>
                <w:sz w:val="20"/>
                <w:szCs w:val="20"/>
                <w:lang w:val="en-US"/>
              </w:rPr>
            </w:pPr>
            <w:r>
              <w:rPr>
                <w:sz w:val="20"/>
                <w:szCs w:val="20"/>
                <w:lang w:val="en-US"/>
              </w:rPr>
              <w:t>Land plot</w:t>
            </w:r>
          </w:p>
        </w:tc>
        <w:tc>
          <w:tcPr>
            <w:tcW w:w="1701" w:type="dxa"/>
            <w:vMerge w:val="restart"/>
            <w:shd w:val="clear" w:color="auto" w:fill="auto"/>
            <w:vAlign w:val="center"/>
          </w:tcPr>
          <w:p w:rsidR="00311F67" w:rsidRPr="00D421A1" w:rsidRDefault="00FC1636" w:rsidP="00D030AA">
            <w:pPr>
              <w:jc w:val="center"/>
              <w:rPr>
                <w:sz w:val="20"/>
                <w:szCs w:val="20"/>
              </w:rPr>
            </w:pPr>
            <w:r w:rsidRPr="001402FA">
              <w:rPr>
                <w:bCs/>
                <w:sz w:val="20"/>
                <w:szCs w:val="20"/>
                <w:lang w:val="en-US"/>
              </w:rPr>
              <w:t xml:space="preserve">25, </w:t>
            </w:r>
            <w:proofErr w:type="spellStart"/>
            <w:r w:rsidRPr="001402FA">
              <w:rPr>
                <w:bCs/>
                <w:sz w:val="20"/>
                <w:szCs w:val="20"/>
                <w:lang w:val="en-US"/>
              </w:rPr>
              <w:t>Kolomoitsivska</w:t>
            </w:r>
            <w:proofErr w:type="spellEnd"/>
            <w:r w:rsidRPr="001402FA">
              <w:rPr>
                <w:bCs/>
                <w:sz w:val="20"/>
                <w:szCs w:val="20"/>
                <w:lang w:val="en-US"/>
              </w:rPr>
              <w:t xml:space="preserve"> Street, </w:t>
            </w:r>
            <w:proofErr w:type="spellStart"/>
            <w:r w:rsidRPr="001402FA">
              <w:rPr>
                <w:bCs/>
                <w:sz w:val="20"/>
                <w:szCs w:val="20"/>
                <w:lang w:val="en-US"/>
              </w:rPr>
              <w:t>Kryvyi</w:t>
            </w:r>
            <w:proofErr w:type="spellEnd"/>
            <w:r w:rsidRPr="001402FA">
              <w:rPr>
                <w:bCs/>
                <w:sz w:val="20"/>
                <w:szCs w:val="20"/>
                <w:lang w:val="en-US"/>
              </w:rPr>
              <w:t xml:space="preserve"> </w:t>
            </w:r>
            <w:proofErr w:type="spellStart"/>
            <w:r w:rsidRPr="001402FA">
              <w:rPr>
                <w:bCs/>
                <w:sz w:val="20"/>
                <w:szCs w:val="20"/>
                <w:lang w:val="en-US"/>
              </w:rPr>
              <w:t>Rih</w:t>
            </w:r>
            <w:proofErr w:type="spellEnd"/>
            <w:r w:rsidRPr="001402FA">
              <w:rPr>
                <w:bCs/>
                <w:sz w:val="20"/>
                <w:szCs w:val="20"/>
                <w:lang w:val="en-US"/>
              </w:rPr>
              <w:t xml:space="preserve"> town, </w:t>
            </w:r>
            <w:proofErr w:type="spellStart"/>
            <w:r w:rsidRPr="001402FA">
              <w:rPr>
                <w:bCs/>
                <w:sz w:val="20"/>
                <w:szCs w:val="20"/>
                <w:lang w:val="en-US"/>
              </w:rPr>
              <w:t>Dnipropetrovska</w:t>
            </w:r>
            <w:proofErr w:type="spellEnd"/>
            <w:r w:rsidRPr="001402FA">
              <w:rPr>
                <w:bCs/>
                <w:sz w:val="20"/>
                <w:szCs w:val="20"/>
                <w:lang w:val="en-US"/>
              </w:rPr>
              <w:t xml:space="preserve"> oblast</w:t>
            </w:r>
          </w:p>
        </w:tc>
        <w:tc>
          <w:tcPr>
            <w:tcW w:w="1134" w:type="dxa"/>
            <w:shd w:val="clear" w:color="auto" w:fill="auto"/>
            <w:vAlign w:val="center"/>
          </w:tcPr>
          <w:p w:rsidR="00311F67" w:rsidRPr="00A11CFA" w:rsidRDefault="00FC1636" w:rsidP="00D030AA">
            <w:pPr>
              <w:jc w:val="center"/>
              <w:rPr>
                <w:sz w:val="20"/>
                <w:szCs w:val="20"/>
              </w:rPr>
            </w:pPr>
            <w:r>
              <w:rPr>
                <w:bCs/>
                <w:color w:val="000000"/>
                <w:sz w:val="20"/>
                <w:szCs w:val="20"/>
                <w:lang w:bidi="uk-UA"/>
              </w:rPr>
              <w:t>154</w:t>
            </w:r>
            <w:r>
              <w:rPr>
                <w:bCs/>
                <w:color w:val="000000"/>
                <w:sz w:val="20"/>
                <w:szCs w:val="20"/>
                <w:lang w:val="en-US" w:bidi="uk-UA"/>
              </w:rPr>
              <w:t>,</w:t>
            </w:r>
            <w:r w:rsidR="00311F67" w:rsidRPr="00A11CFA">
              <w:rPr>
                <w:bCs/>
                <w:color w:val="000000"/>
                <w:sz w:val="20"/>
                <w:szCs w:val="20"/>
                <w:lang w:bidi="uk-UA"/>
              </w:rPr>
              <w:t>448</w:t>
            </w:r>
          </w:p>
        </w:tc>
        <w:tc>
          <w:tcPr>
            <w:tcW w:w="2409" w:type="dxa"/>
            <w:shd w:val="clear" w:color="auto" w:fill="auto"/>
            <w:vAlign w:val="center"/>
          </w:tcPr>
          <w:p w:rsidR="00311F67" w:rsidRPr="00A11CFA" w:rsidRDefault="00311F67" w:rsidP="00D030AA">
            <w:pPr>
              <w:jc w:val="center"/>
              <w:rPr>
                <w:sz w:val="20"/>
                <w:szCs w:val="20"/>
              </w:rPr>
            </w:pPr>
            <w:r w:rsidRPr="00A11CFA">
              <w:rPr>
                <w:bCs/>
                <w:color w:val="000000"/>
                <w:sz w:val="20"/>
                <w:szCs w:val="20"/>
                <w:lang w:bidi="uk-UA"/>
              </w:rPr>
              <w:t>1211000000:04:432:0007</w:t>
            </w:r>
          </w:p>
        </w:tc>
        <w:tc>
          <w:tcPr>
            <w:tcW w:w="1847" w:type="dxa"/>
            <w:vMerge w:val="restart"/>
            <w:shd w:val="clear" w:color="auto" w:fill="auto"/>
            <w:vAlign w:val="center"/>
          </w:tcPr>
          <w:p w:rsidR="00311F67" w:rsidRPr="00D421A1" w:rsidRDefault="00FC1636" w:rsidP="00D030AA">
            <w:pPr>
              <w:jc w:val="center"/>
              <w:rPr>
                <w:sz w:val="20"/>
                <w:szCs w:val="20"/>
              </w:rPr>
            </w:pPr>
            <w:proofErr w:type="spellStart"/>
            <w:r w:rsidRPr="00FC1636">
              <w:rPr>
                <w:sz w:val="20"/>
                <w:szCs w:val="20"/>
              </w:rPr>
              <w:t>for</w:t>
            </w:r>
            <w:proofErr w:type="spellEnd"/>
            <w:r w:rsidRPr="00FC1636">
              <w:rPr>
                <w:sz w:val="20"/>
                <w:szCs w:val="20"/>
              </w:rPr>
              <w:t xml:space="preserve"> </w:t>
            </w:r>
            <w:proofErr w:type="spellStart"/>
            <w:r w:rsidRPr="00FC1636">
              <w:rPr>
                <w:sz w:val="20"/>
                <w:szCs w:val="20"/>
              </w:rPr>
              <w:t>the</w:t>
            </w:r>
            <w:proofErr w:type="spellEnd"/>
            <w:r w:rsidRPr="00FC1636">
              <w:rPr>
                <w:sz w:val="20"/>
                <w:szCs w:val="20"/>
              </w:rPr>
              <w:t xml:space="preserve"> </w:t>
            </w:r>
            <w:proofErr w:type="spellStart"/>
            <w:r w:rsidRPr="00FC1636">
              <w:rPr>
                <w:sz w:val="20"/>
                <w:szCs w:val="20"/>
              </w:rPr>
              <w:t>placement</w:t>
            </w:r>
            <w:proofErr w:type="spellEnd"/>
            <w:r w:rsidRPr="00FC1636">
              <w:rPr>
                <w:sz w:val="20"/>
                <w:szCs w:val="20"/>
              </w:rPr>
              <w:t xml:space="preserve"> </w:t>
            </w:r>
            <w:proofErr w:type="spellStart"/>
            <w:r w:rsidRPr="00FC1636">
              <w:rPr>
                <w:sz w:val="20"/>
                <w:szCs w:val="20"/>
              </w:rPr>
              <w:t>and</w:t>
            </w:r>
            <w:proofErr w:type="spellEnd"/>
            <w:r w:rsidRPr="00FC1636">
              <w:rPr>
                <w:sz w:val="20"/>
                <w:szCs w:val="20"/>
              </w:rPr>
              <w:t xml:space="preserve"> </w:t>
            </w:r>
            <w:proofErr w:type="spellStart"/>
            <w:r w:rsidRPr="00FC1636">
              <w:rPr>
                <w:sz w:val="20"/>
                <w:szCs w:val="20"/>
              </w:rPr>
              <w:t>operation</w:t>
            </w:r>
            <w:proofErr w:type="spellEnd"/>
            <w:r w:rsidRPr="00FC1636">
              <w:rPr>
                <w:sz w:val="20"/>
                <w:szCs w:val="20"/>
              </w:rPr>
              <w:t xml:space="preserve"> </w:t>
            </w:r>
            <w:proofErr w:type="spellStart"/>
            <w:r w:rsidRPr="00FC1636">
              <w:rPr>
                <w:sz w:val="20"/>
                <w:szCs w:val="20"/>
              </w:rPr>
              <w:t>of</w:t>
            </w:r>
            <w:proofErr w:type="spellEnd"/>
            <w:r w:rsidRPr="00FC1636">
              <w:rPr>
                <w:sz w:val="20"/>
                <w:szCs w:val="20"/>
              </w:rPr>
              <w:t xml:space="preserve"> </w:t>
            </w:r>
            <w:proofErr w:type="spellStart"/>
            <w:r w:rsidRPr="00FC1636">
              <w:rPr>
                <w:sz w:val="20"/>
                <w:szCs w:val="20"/>
              </w:rPr>
              <w:t>the</w:t>
            </w:r>
            <w:proofErr w:type="spellEnd"/>
            <w:r w:rsidRPr="00FC1636">
              <w:rPr>
                <w:sz w:val="20"/>
                <w:szCs w:val="20"/>
              </w:rPr>
              <w:t xml:space="preserve"> </w:t>
            </w:r>
            <w:proofErr w:type="spellStart"/>
            <w:r w:rsidRPr="00FC1636">
              <w:rPr>
                <w:sz w:val="20"/>
                <w:szCs w:val="20"/>
              </w:rPr>
              <w:t>main</w:t>
            </w:r>
            <w:proofErr w:type="spellEnd"/>
            <w:r w:rsidRPr="00FC1636">
              <w:rPr>
                <w:sz w:val="20"/>
                <w:szCs w:val="20"/>
              </w:rPr>
              <w:t xml:space="preserve">, </w:t>
            </w:r>
            <w:proofErr w:type="spellStart"/>
            <w:r w:rsidRPr="00FC1636">
              <w:rPr>
                <w:sz w:val="20"/>
                <w:szCs w:val="20"/>
              </w:rPr>
              <w:t>auxiliary</w:t>
            </w:r>
            <w:proofErr w:type="spellEnd"/>
            <w:r w:rsidRPr="00FC1636">
              <w:rPr>
                <w:sz w:val="20"/>
                <w:szCs w:val="20"/>
              </w:rPr>
              <w:t xml:space="preserve"> </w:t>
            </w:r>
            <w:proofErr w:type="spellStart"/>
            <w:r w:rsidRPr="00FC1636">
              <w:rPr>
                <w:sz w:val="20"/>
                <w:szCs w:val="20"/>
              </w:rPr>
              <w:t>and</w:t>
            </w:r>
            <w:proofErr w:type="spellEnd"/>
            <w:r w:rsidRPr="00FC1636">
              <w:rPr>
                <w:sz w:val="20"/>
                <w:szCs w:val="20"/>
              </w:rPr>
              <w:t xml:space="preserve"> </w:t>
            </w:r>
            <w:proofErr w:type="spellStart"/>
            <w:r w:rsidRPr="00FC1636">
              <w:rPr>
                <w:sz w:val="20"/>
                <w:szCs w:val="20"/>
              </w:rPr>
              <w:t>auxiliary</w:t>
            </w:r>
            <w:proofErr w:type="spellEnd"/>
            <w:r w:rsidRPr="00FC1636">
              <w:rPr>
                <w:sz w:val="20"/>
                <w:szCs w:val="20"/>
              </w:rPr>
              <w:t xml:space="preserve"> </w:t>
            </w:r>
            <w:proofErr w:type="spellStart"/>
            <w:r w:rsidRPr="00FC1636">
              <w:rPr>
                <w:sz w:val="20"/>
                <w:szCs w:val="20"/>
              </w:rPr>
              <w:t>buildings</w:t>
            </w:r>
            <w:proofErr w:type="spellEnd"/>
            <w:r w:rsidRPr="00FC1636">
              <w:rPr>
                <w:sz w:val="20"/>
                <w:szCs w:val="20"/>
              </w:rPr>
              <w:t xml:space="preserve"> </w:t>
            </w:r>
            <w:proofErr w:type="spellStart"/>
            <w:r w:rsidRPr="00FC1636">
              <w:rPr>
                <w:sz w:val="20"/>
                <w:szCs w:val="20"/>
              </w:rPr>
              <w:t>and</w:t>
            </w:r>
            <w:proofErr w:type="spellEnd"/>
            <w:r w:rsidRPr="00FC1636">
              <w:rPr>
                <w:sz w:val="20"/>
                <w:szCs w:val="20"/>
              </w:rPr>
              <w:t xml:space="preserve"> </w:t>
            </w:r>
            <w:proofErr w:type="spellStart"/>
            <w:r w:rsidRPr="00FC1636">
              <w:rPr>
                <w:sz w:val="20"/>
                <w:szCs w:val="20"/>
              </w:rPr>
              <w:t>structures</w:t>
            </w:r>
            <w:proofErr w:type="spellEnd"/>
            <w:r w:rsidRPr="00FC1636">
              <w:rPr>
                <w:sz w:val="20"/>
                <w:szCs w:val="20"/>
              </w:rPr>
              <w:t xml:space="preserve"> </w:t>
            </w:r>
            <w:proofErr w:type="spellStart"/>
            <w:r w:rsidRPr="00FC1636">
              <w:rPr>
                <w:sz w:val="20"/>
                <w:szCs w:val="20"/>
              </w:rPr>
              <w:t>of</w:t>
            </w:r>
            <w:proofErr w:type="spellEnd"/>
            <w:r w:rsidRPr="00FC1636">
              <w:rPr>
                <w:sz w:val="20"/>
                <w:szCs w:val="20"/>
              </w:rPr>
              <w:t xml:space="preserve"> </w:t>
            </w:r>
            <w:proofErr w:type="spellStart"/>
            <w:r w:rsidRPr="00FC1636">
              <w:rPr>
                <w:sz w:val="20"/>
                <w:szCs w:val="20"/>
              </w:rPr>
              <w:t>enterprises</w:t>
            </w:r>
            <w:proofErr w:type="spellEnd"/>
            <w:r w:rsidRPr="00FC1636">
              <w:rPr>
                <w:sz w:val="20"/>
                <w:szCs w:val="20"/>
              </w:rPr>
              <w:t xml:space="preserve"> </w:t>
            </w:r>
            <w:proofErr w:type="spellStart"/>
            <w:r w:rsidRPr="00FC1636">
              <w:rPr>
                <w:sz w:val="20"/>
                <w:szCs w:val="20"/>
              </w:rPr>
              <w:t>of</w:t>
            </w:r>
            <w:proofErr w:type="spellEnd"/>
            <w:r w:rsidRPr="00FC1636">
              <w:rPr>
                <w:sz w:val="20"/>
                <w:szCs w:val="20"/>
              </w:rPr>
              <w:t xml:space="preserve"> </w:t>
            </w:r>
            <w:proofErr w:type="spellStart"/>
            <w:r w:rsidRPr="00FC1636">
              <w:rPr>
                <w:sz w:val="20"/>
                <w:szCs w:val="20"/>
              </w:rPr>
              <w:t>the</w:t>
            </w:r>
            <w:proofErr w:type="spellEnd"/>
            <w:r w:rsidRPr="00FC1636">
              <w:rPr>
                <w:sz w:val="20"/>
                <w:szCs w:val="20"/>
              </w:rPr>
              <w:t xml:space="preserve"> </w:t>
            </w:r>
            <w:proofErr w:type="spellStart"/>
            <w:r w:rsidRPr="00FC1636">
              <w:rPr>
                <w:sz w:val="20"/>
                <w:szCs w:val="20"/>
              </w:rPr>
              <w:t>processing</w:t>
            </w:r>
            <w:proofErr w:type="spellEnd"/>
            <w:r w:rsidRPr="00FC1636">
              <w:rPr>
                <w:sz w:val="20"/>
                <w:szCs w:val="20"/>
              </w:rPr>
              <w:t xml:space="preserve">, </w:t>
            </w:r>
            <w:proofErr w:type="spellStart"/>
            <w:r w:rsidRPr="00FC1636">
              <w:rPr>
                <w:sz w:val="20"/>
                <w:szCs w:val="20"/>
              </w:rPr>
              <w:t>machine-building</w:t>
            </w:r>
            <w:proofErr w:type="spellEnd"/>
            <w:r w:rsidRPr="00FC1636">
              <w:rPr>
                <w:sz w:val="20"/>
                <w:szCs w:val="20"/>
              </w:rPr>
              <w:t xml:space="preserve"> </w:t>
            </w:r>
            <w:proofErr w:type="spellStart"/>
            <w:r w:rsidRPr="00FC1636">
              <w:rPr>
                <w:sz w:val="20"/>
                <w:szCs w:val="20"/>
              </w:rPr>
              <w:t>and</w:t>
            </w:r>
            <w:proofErr w:type="spellEnd"/>
            <w:r w:rsidRPr="00FC1636">
              <w:rPr>
                <w:sz w:val="20"/>
                <w:szCs w:val="20"/>
              </w:rPr>
              <w:t xml:space="preserve"> </w:t>
            </w:r>
            <w:proofErr w:type="spellStart"/>
            <w:r w:rsidRPr="00FC1636">
              <w:rPr>
                <w:sz w:val="20"/>
                <w:szCs w:val="20"/>
              </w:rPr>
              <w:t>other</w:t>
            </w:r>
            <w:proofErr w:type="spellEnd"/>
            <w:r w:rsidRPr="00FC1636">
              <w:rPr>
                <w:sz w:val="20"/>
                <w:szCs w:val="20"/>
              </w:rPr>
              <w:t xml:space="preserve"> </w:t>
            </w:r>
            <w:proofErr w:type="spellStart"/>
            <w:r w:rsidRPr="00FC1636">
              <w:rPr>
                <w:sz w:val="20"/>
                <w:szCs w:val="20"/>
              </w:rPr>
              <w:t>industries</w:t>
            </w:r>
            <w:r w:rsidR="00311F67">
              <w:rPr>
                <w:sz w:val="20"/>
                <w:szCs w:val="20"/>
              </w:rPr>
              <w:t>і</w:t>
            </w:r>
            <w:proofErr w:type="spellEnd"/>
          </w:p>
        </w:tc>
        <w:tc>
          <w:tcPr>
            <w:tcW w:w="2220" w:type="dxa"/>
            <w:vMerge w:val="restart"/>
            <w:shd w:val="clear" w:color="auto" w:fill="auto"/>
            <w:vAlign w:val="center"/>
          </w:tcPr>
          <w:p w:rsidR="00311F67" w:rsidRPr="00D421A1" w:rsidRDefault="00FC1636" w:rsidP="00D030AA">
            <w:pPr>
              <w:jc w:val="center"/>
              <w:rPr>
                <w:sz w:val="20"/>
                <w:szCs w:val="20"/>
              </w:rPr>
            </w:pPr>
            <w:proofErr w:type="spellStart"/>
            <w:r w:rsidRPr="00FC1636">
              <w:rPr>
                <w:sz w:val="20"/>
                <w:szCs w:val="20"/>
              </w:rPr>
              <w:t>communal</w:t>
            </w:r>
            <w:proofErr w:type="spellEnd"/>
            <w:r w:rsidRPr="00FC1636">
              <w:rPr>
                <w:sz w:val="20"/>
                <w:szCs w:val="20"/>
              </w:rPr>
              <w:t xml:space="preserve"> </w:t>
            </w:r>
            <w:proofErr w:type="spellStart"/>
            <w:r w:rsidRPr="00FC1636">
              <w:rPr>
                <w:sz w:val="20"/>
                <w:szCs w:val="20"/>
              </w:rPr>
              <w:t>property</w:t>
            </w:r>
            <w:proofErr w:type="spellEnd"/>
            <w:r w:rsidRPr="00FC1636">
              <w:rPr>
                <w:sz w:val="20"/>
                <w:szCs w:val="20"/>
              </w:rPr>
              <w:t xml:space="preserve"> </w:t>
            </w:r>
            <w:proofErr w:type="spellStart"/>
            <w:r w:rsidRPr="00FC1636">
              <w:rPr>
                <w:sz w:val="20"/>
                <w:szCs w:val="20"/>
              </w:rPr>
              <w:t>of</w:t>
            </w:r>
            <w:proofErr w:type="spellEnd"/>
            <w:r w:rsidRPr="00FC1636">
              <w:rPr>
                <w:sz w:val="20"/>
                <w:szCs w:val="20"/>
              </w:rPr>
              <w:t xml:space="preserve"> </w:t>
            </w:r>
            <w:proofErr w:type="spellStart"/>
            <w:r w:rsidRPr="00FC1636">
              <w:rPr>
                <w:sz w:val="20"/>
                <w:szCs w:val="20"/>
              </w:rPr>
              <w:t>the</w:t>
            </w:r>
            <w:proofErr w:type="spellEnd"/>
            <w:r>
              <w:rPr>
                <w:sz w:val="20"/>
                <w:szCs w:val="20"/>
              </w:rPr>
              <w:t xml:space="preserve"> </w:t>
            </w:r>
            <w:proofErr w:type="spellStart"/>
            <w:r>
              <w:rPr>
                <w:sz w:val="20"/>
                <w:szCs w:val="20"/>
              </w:rPr>
              <w:t>territorial</w:t>
            </w:r>
            <w:proofErr w:type="spellEnd"/>
            <w:r>
              <w:rPr>
                <w:sz w:val="20"/>
                <w:szCs w:val="20"/>
              </w:rPr>
              <w:t xml:space="preserve"> </w:t>
            </w:r>
            <w:proofErr w:type="spellStart"/>
            <w:r>
              <w:rPr>
                <w:sz w:val="20"/>
                <w:szCs w:val="20"/>
              </w:rPr>
              <w:t>community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Kr</w:t>
            </w:r>
            <w:r>
              <w:rPr>
                <w:sz w:val="20"/>
                <w:szCs w:val="20"/>
                <w:lang w:val="en-US"/>
              </w:rPr>
              <w:t>yvyi</w:t>
            </w:r>
            <w:proofErr w:type="spellEnd"/>
            <w:r>
              <w:rPr>
                <w:sz w:val="20"/>
                <w:szCs w:val="20"/>
              </w:rPr>
              <w:t xml:space="preserve"> R</w:t>
            </w:r>
            <w:proofErr w:type="spellStart"/>
            <w:r>
              <w:rPr>
                <w:sz w:val="20"/>
                <w:szCs w:val="20"/>
                <w:lang w:val="en-US"/>
              </w:rPr>
              <w:t>ih</w:t>
            </w:r>
            <w:proofErr w:type="spellEnd"/>
            <w:r>
              <w:rPr>
                <w:sz w:val="20"/>
                <w:szCs w:val="20"/>
                <w:lang w:val="en-US"/>
              </w:rPr>
              <w:t xml:space="preserve"> town</w:t>
            </w:r>
            <w:r w:rsidRPr="00FC1636">
              <w:rPr>
                <w:sz w:val="20"/>
                <w:szCs w:val="20"/>
              </w:rPr>
              <w:t xml:space="preserve"> </w:t>
            </w:r>
            <w:proofErr w:type="spellStart"/>
            <w:r w:rsidRPr="00FC1636">
              <w:rPr>
                <w:sz w:val="20"/>
                <w:szCs w:val="20"/>
              </w:rPr>
              <w:t>represented</w:t>
            </w:r>
            <w:proofErr w:type="spellEnd"/>
            <w:r w:rsidRPr="00FC1636">
              <w:rPr>
                <w:sz w:val="20"/>
                <w:szCs w:val="20"/>
              </w:rPr>
              <w:t xml:space="preserve"> </w:t>
            </w:r>
            <w:proofErr w:type="spellStart"/>
            <w:r w:rsidRPr="00FC1636">
              <w:rPr>
                <w:sz w:val="20"/>
                <w:szCs w:val="20"/>
              </w:rPr>
              <w:t>by</w:t>
            </w:r>
            <w:proofErr w:type="spellEnd"/>
            <w:r w:rsidRPr="00FC1636">
              <w:rPr>
                <w:sz w:val="20"/>
                <w:szCs w:val="20"/>
              </w:rPr>
              <w:t xml:space="preserve"> </w:t>
            </w:r>
            <w:proofErr w:type="spellStart"/>
            <w:r w:rsidRPr="00FC1636">
              <w:rPr>
                <w:sz w:val="20"/>
                <w:szCs w:val="20"/>
              </w:rPr>
              <w:t>the</w:t>
            </w:r>
            <w:proofErr w:type="spellEnd"/>
            <w:r w:rsidRPr="00FC1636">
              <w:rPr>
                <w:sz w:val="20"/>
                <w:szCs w:val="20"/>
              </w:rPr>
              <w:t xml:space="preserve"> </w:t>
            </w:r>
            <w:proofErr w:type="spellStart"/>
            <w:r w:rsidRPr="00FC1636">
              <w:rPr>
                <w:sz w:val="20"/>
                <w:szCs w:val="20"/>
              </w:rPr>
              <w:t>Kryvyi</w:t>
            </w:r>
            <w:proofErr w:type="spellEnd"/>
            <w:r w:rsidRPr="00FC1636">
              <w:rPr>
                <w:sz w:val="20"/>
                <w:szCs w:val="20"/>
              </w:rPr>
              <w:t xml:space="preserve"> </w:t>
            </w:r>
            <w:proofErr w:type="spellStart"/>
            <w:r w:rsidRPr="00FC1636">
              <w:rPr>
                <w:sz w:val="20"/>
                <w:szCs w:val="20"/>
              </w:rPr>
              <w:t>Rih</w:t>
            </w:r>
            <w:proofErr w:type="spellEnd"/>
            <w:r w:rsidRPr="00FC1636">
              <w:rPr>
                <w:sz w:val="20"/>
                <w:szCs w:val="20"/>
              </w:rPr>
              <w:t xml:space="preserve"> </w:t>
            </w:r>
            <w:proofErr w:type="spellStart"/>
            <w:r w:rsidRPr="00FC1636">
              <w:rPr>
                <w:sz w:val="20"/>
                <w:szCs w:val="20"/>
              </w:rPr>
              <w:t>City</w:t>
            </w:r>
            <w:proofErr w:type="spellEnd"/>
            <w:r w:rsidRPr="00FC1636">
              <w:rPr>
                <w:sz w:val="20"/>
                <w:szCs w:val="20"/>
              </w:rPr>
              <w:t xml:space="preserve"> </w:t>
            </w:r>
            <w:proofErr w:type="spellStart"/>
            <w:r w:rsidRPr="00FC1636">
              <w:rPr>
                <w:sz w:val="20"/>
                <w:szCs w:val="20"/>
              </w:rPr>
              <w:t>Council</w:t>
            </w:r>
            <w:proofErr w:type="spellEnd"/>
          </w:p>
        </w:tc>
      </w:tr>
      <w:tr w:rsidR="00311F67" w:rsidRPr="00A44064" w:rsidTr="00D030AA">
        <w:trPr>
          <w:trHeight w:val="567"/>
        </w:trPr>
        <w:tc>
          <w:tcPr>
            <w:tcW w:w="1713" w:type="dxa"/>
            <w:shd w:val="clear" w:color="auto" w:fill="auto"/>
            <w:vAlign w:val="center"/>
          </w:tcPr>
          <w:p w:rsidR="00311F67" w:rsidRPr="00163B5C" w:rsidRDefault="00163B5C" w:rsidP="00D030AA">
            <w:pPr>
              <w:jc w:val="center"/>
              <w:rPr>
                <w:sz w:val="20"/>
                <w:szCs w:val="20"/>
                <w:lang w:val="en-US"/>
              </w:rPr>
            </w:pPr>
            <w:r>
              <w:rPr>
                <w:sz w:val="20"/>
                <w:szCs w:val="20"/>
                <w:lang w:val="en-US"/>
              </w:rPr>
              <w:t>Land plot</w:t>
            </w:r>
          </w:p>
        </w:tc>
        <w:tc>
          <w:tcPr>
            <w:tcW w:w="1701" w:type="dxa"/>
            <w:vMerge/>
            <w:shd w:val="clear" w:color="auto" w:fill="auto"/>
            <w:vAlign w:val="center"/>
          </w:tcPr>
          <w:p w:rsidR="00311F67" w:rsidRPr="00D421A1" w:rsidRDefault="00311F67" w:rsidP="00D030AA">
            <w:pPr>
              <w:rPr>
                <w:sz w:val="20"/>
                <w:szCs w:val="20"/>
              </w:rPr>
            </w:pPr>
          </w:p>
        </w:tc>
        <w:tc>
          <w:tcPr>
            <w:tcW w:w="1134" w:type="dxa"/>
            <w:shd w:val="clear" w:color="auto" w:fill="auto"/>
            <w:vAlign w:val="center"/>
          </w:tcPr>
          <w:p w:rsidR="00311F67" w:rsidRPr="00A11CFA" w:rsidRDefault="00FC1636" w:rsidP="00D030AA">
            <w:pPr>
              <w:jc w:val="center"/>
              <w:rPr>
                <w:sz w:val="20"/>
                <w:szCs w:val="20"/>
              </w:rPr>
            </w:pPr>
            <w:r>
              <w:rPr>
                <w:bCs/>
                <w:color w:val="000000"/>
                <w:sz w:val="20"/>
                <w:szCs w:val="20"/>
                <w:lang w:bidi="uk-UA"/>
              </w:rPr>
              <w:t>85</w:t>
            </w:r>
            <w:r>
              <w:rPr>
                <w:bCs/>
                <w:color w:val="000000"/>
                <w:sz w:val="20"/>
                <w:szCs w:val="20"/>
                <w:lang w:val="en-US" w:bidi="uk-UA"/>
              </w:rPr>
              <w:t>,</w:t>
            </w:r>
            <w:r w:rsidR="00311F67" w:rsidRPr="00A11CFA">
              <w:rPr>
                <w:bCs/>
                <w:color w:val="000000"/>
                <w:sz w:val="20"/>
                <w:szCs w:val="20"/>
                <w:lang w:bidi="uk-UA"/>
              </w:rPr>
              <w:t>646</w:t>
            </w:r>
          </w:p>
        </w:tc>
        <w:tc>
          <w:tcPr>
            <w:tcW w:w="2409" w:type="dxa"/>
            <w:shd w:val="clear" w:color="auto" w:fill="auto"/>
            <w:vAlign w:val="center"/>
          </w:tcPr>
          <w:p w:rsidR="00311F67" w:rsidRPr="00A11CFA" w:rsidRDefault="00311F67" w:rsidP="00D030AA">
            <w:pPr>
              <w:jc w:val="center"/>
              <w:rPr>
                <w:sz w:val="20"/>
                <w:szCs w:val="20"/>
              </w:rPr>
            </w:pPr>
            <w:r w:rsidRPr="00A11CFA">
              <w:rPr>
                <w:bCs/>
                <w:color w:val="000000"/>
                <w:sz w:val="20"/>
                <w:szCs w:val="20"/>
                <w:lang w:bidi="uk-UA"/>
              </w:rPr>
              <w:t>1211000000:04:432:0003</w:t>
            </w:r>
          </w:p>
        </w:tc>
        <w:tc>
          <w:tcPr>
            <w:tcW w:w="1847" w:type="dxa"/>
            <w:vMerge/>
            <w:shd w:val="clear" w:color="auto" w:fill="auto"/>
            <w:vAlign w:val="center"/>
          </w:tcPr>
          <w:p w:rsidR="00311F67" w:rsidRPr="00D421A1" w:rsidRDefault="00311F67" w:rsidP="00D030AA">
            <w:pPr>
              <w:jc w:val="center"/>
              <w:rPr>
                <w:color w:val="0070C0"/>
                <w:sz w:val="20"/>
                <w:szCs w:val="20"/>
              </w:rPr>
            </w:pPr>
          </w:p>
        </w:tc>
        <w:tc>
          <w:tcPr>
            <w:tcW w:w="2220" w:type="dxa"/>
            <w:vMerge/>
            <w:shd w:val="clear" w:color="auto" w:fill="auto"/>
            <w:vAlign w:val="center"/>
          </w:tcPr>
          <w:p w:rsidR="00311F67" w:rsidRPr="00D421A1" w:rsidRDefault="00311F67" w:rsidP="00D030AA">
            <w:pPr>
              <w:jc w:val="center"/>
              <w:rPr>
                <w:sz w:val="20"/>
                <w:szCs w:val="20"/>
              </w:rPr>
            </w:pPr>
          </w:p>
        </w:tc>
      </w:tr>
    </w:tbl>
    <w:p w:rsidR="002F034C" w:rsidRPr="0070676C" w:rsidRDefault="002F034C" w:rsidP="00194DF0">
      <w:pPr>
        <w:jc w:val="both"/>
        <w:rPr>
          <w:bCs/>
          <w:color w:val="000000"/>
          <w:lang w:val="en-US"/>
        </w:rPr>
      </w:pPr>
    </w:p>
    <w:p w:rsidR="00FC1636" w:rsidRPr="0088067C" w:rsidRDefault="0088067C" w:rsidP="00194DF0">
      <w:pPr>
        <w:pStyle w:val="a6"/>
        <w:tabs>
          <w:tab w:val="left" w:pos="567"/>
          <w:tab w:val="left" w:pos="993"/>
        </w:tabs>
        <w:spacing w:after="0"/>
        <w:ind w:right="-28"/>
        <w:jc w:val="both"/>
        <w:rPr>
          <w:bCs/>
          <w:lang w:val="en-US"/>
        </w:rPr>
      </w:pPr>
      <w:r w:rsidRPr="0088067C">
        <w:rPr>
          <w:bCs/>
          <w:lang w:val="en-US"/>
        </w:rPr>
        <w:t>The right to use land plots at</w:t>
      </w:r>
      <w:r w:rsidRPr="0088067C">
        <w:rPr>
          <w:lang w:val="en-US"/>
        </w:rPr>
        <w:t xml:space="preserve"> </w:t>
      </w:r>
      <w:r>
        <w:rPr>
          <w:lang w:val="en-US"/>
        </w:rPr>
        <w:t xml:space="preserve">the address: </w:t>
      </w:r>
      <w:r w:rsidRPr="00615FBD">
        <w:rPr>
          <w:bCs/>
          <w:color w:val="000000"/>
          <w:lang w:val="en-US"/>
        </w:rPr>
        <w:t xml:space="preserve">25, </w:t>
      </w:r>
      <w:proofErr w:type="spellStart"/>
      <w:r w:rsidRPr="00615FBD">
        <w:rPr>
          <w:bCs/>
          <w:color w:val="000000"/>
          <w:lang w:val="en-US"/>
        </w:rPr>
        <w:t>Kolomoitsivska</w:t>
      </w:r>
      <w:proofErr w:type="spellEnd"/>
      <w:r w:rsidRPr="00615FBD">
        <w:rPr>
          <w:bCs/>
          <w:color w:val="000000"/>
          <w:lang w:val="en-US"/>
        </w:rPr>
        <w:t xml:space="preserve"> Street, </w:t>
      </w:r>
      <w:proofErr w:type="spellStart"/>
      <w:r w:rsidRPr="00615FBD">
        <w:rPr>
          <w:bCs/>
          <w:color w:val="000000"/>
          <w:lang w:val="en-US"/>
        </w:rPr>
        <w:t>Kryvyi</w:t>
      </w:r>
      <w:proofErr w:type="spellEnd"/>
      <w:r w:rsidRPr="00615FBD">
        <w:rPr>
          <w:bCs/>
          <w:color w:val="000000"/>
          <w:lang w:val="en-US"/>
        </w:rPr>
        <w:t xml:space="preserve"> </w:t>
      </w:r>
      <w:proofErr w:type="spellStart"/>
      <w:r w:rsidRPr="00615FBD">
        <w:rPr>
          <w:bCs/>
          <w:color w:val="000000"/>
          <w:lang w:val="en-US"/>
        </w:rPr>
        <w:t>Rih</w:t>
      </w:r>
      <w:proofErr w:type="spellEnd"/>
      <w:r w:rsidRPr="00615FBD">
        <w:rPr>
          <w:bCs/>
          <w:color w:val="000000"/>
          <w:lang w:val="en-US"/>
        </w:rPr>
        <w:t xml:space="preserve"> town, </w:t>
      </w:r>
      <w:proofErr w:type="spellStart"/>
      <w:r w:rsidRPr="00615FBD">
        <w:rPr>
          <w:bCs/>
          <w:color w:val="000000"/>
          <w:lang w:val="en-US"/>
        </w:rPr>
        <w:t>Dnipropetrovska</w:t>
      </w:r>
      <w:proofErr w:type="spellEnd"/>
      <w:r w:rsidRPr="00615FBD">
        <w:rPr>
          <w:bCs/>
          <w:color w:val="000000"/>
          <w:lang w:val="en-US"/>
        </w:rPr>
        <w:t xml:space="preserve"> oblast</w:t>
      </w:r>
      <w:r>
        <w:rPr>
          <w:bCs/>
          <w:color w:val="000000"/>
          <w:lang w:val="en-US"/>
        </w:rPr>
        <w:t>,</w:t>
      </w:r>
      <w:r w:rsidRPr="0088067C">
        <w:t xml:space="preserve"> </w:t>
      </w:r>
      <w:r w:rsidRPr="0088067C">
        <w:rPr>
          <w:bCs/>
          <w:color w:val="000000"/>
          <w:lang w:val="en-US"/>
        </w:rPr>
        <w:t xml:space="preserve">the structural </w:t>
      </w:r>
      <w:r>
        <w:rPr>
          <w:bCs/>
          <w:color w:val="000000"/>
          <w:lang w:val="en-US"/>
        </w:rPr>
        <w:t>sub</w:t>
      </w:r>
      <w:r w:rsidRPr="0088067C">
        <w:rPr>
          <w:bCs/>
          <w:color w:val="000000"/>
          <w:lang w:val="en-US"/>
        </w:rPr>
        <w:t xml:space="preserve">division </w:t>
      </w:r>
      <w:r w:rsidRPr="00C11798">
        <w:rPr>
          <w:bCs/>
          <w:color w:val="000000"/>
          <w:lang w:val="en-US"/>
        </w:rPr>
        <w:t>of State-owned enterprise “Administrative Directorate of the State Property Fund of Ukraine”</w:t>
      </w:r>
      <w:r>
        <w:rPr>
          <w:bCs/>
          <w:color w:val="000000"/>
          <w:lang w:val="en-US"/>
        </w:rPr>
        <w:t xml:space="preserve"> (Dnipro branch) </w:t>
      </w:r>
      <w:r w:rsidRPr="0088067C">
        <w:rPr>
          <w:bCs/>
          <w:color w:val="000000"/>
          <w:lang w:val="en-US"/>
        </w:rPr>
        <w:t>was not registered.</w:t>
      </w:r>
    </w:p>
    <w:p w:rsidR="00FC1636" w:rsidRDefault="00FC1636" w:rsidP="00194DF0">
      <w:pPr>
        <w:pStyle w:val="a6"/>
        <w:tabs>
          <w:tab w:val="left" w:pos="567"/>
          <w:tab w:val="left" w:pos="993"/>
        </w:tabs>
        <w:spacing w:after="0"/>
        <w:ind w:right="-28"/>
        <w:jc w:val="both"/>
        <w:rPr>
          <w:b/>
          <w:bCs/>
          <w:lang w:val="en-US"/>
        </w:rPr>
      </w:pPr>
    </w:p>
    <w:p w:rsidR="004579C7" w:rsidRPr="0070676C" w:rsidRDefault="008E2620" w:rsidP="00194DF0">
      <w:pPr>
        <w:pStyle w:val="a6"/>
        <w:tabs>
          <w:tab w:val="left" w:pos="567"/>
          <w:tab w:val="left" w:pos="993"/>
        </w:tabs>
        <w:spacing w:after="0"/>
        <w:ind w:right="-28"/>
        <w:jc w:val="both"/>
        <w:rPr>
          <w:bCs/>
          <w:lang w:val="en-US"/>
        </w:rPr>
      </w:pPr>
      <w:r w:rsidRPr="0070676C">
        <w:rPr>
          <w:b/>
          <w:bCs/>
          <w:lang w:val="en-US"/>
        </w:rPr>
        <w:t xml:space="preserve">Information on lease agreements concluded with respect to the object: </w:t>
      </w:r>
      <w:r w:rsidR="004579C7" w:rsidRPr="0070676C">
        <w:rPr>
          <w:bCs/>
          <w:lang w:val="en-US"/>
        </w:rPr>
        <w:t>there are no l</w:t>
      </w:r>
      <w:r w:rsidR="0070676C" w:rsidRPr="0070676C">
        <w:rPr>
          <w:bCs/>
          <w:lang w:val="en-US"/>
        </w:rPr>
        <w:t>ease agreements for this object.</w:t>
      </w:r>
    </w:p>
    <w:p w:rsidR="00495F75" w:rsidRDefault="00C53DB0" w:rsidP="00495F75">
      <w:pPr>
        <w:pStyle w:val="a6"/>
        <w:tabs>
          <w:tab w:val="left" w:pos="567"/>
        </w:tabs>
        <w:ind w:right="28"/>
        <w:jc w:val="both"/>
        <w:rPr>
          <w:lang w:val="en-US"/>
        </w:rPr>
      </w:pPr>
      <w:r w:rsidRPr="00C53DB0">
        <w:rPr>
          <w:b/>
          <w:bCs/>
          <w:lang w:val="en-US"/>
        </w:rPr>
        <w:t>Information on the volumes of emissions and discharges of pollutants</w:t>
      </w:r>
      <w:r w:rsidR="008D5A82" w:rsidRPr="0055394B">
        <w:t>:</w:t>
      </w:r>
      <w:r w:rsidR="008D5A82">
        <w:rPr>
          <w:lang w:val="en-US"/>
        </w:rPr>
        <w:t xml:space="preserve"> </w:t>
      </w:r>
      <w:r w:rsidR="002650DE" w:rsidRPr="002650DE">
        <w:rPr>
          <w:lang w:val="en-US"/>
        </w:rPr>
        <w:t>economic activity is not carried out.</w:t>
      </w:r>
    </w:p>
    <w:p w:rsidR="002650DE" w:rsidRPr="00923A3F" w:rsidRDefault="002650DE" w:rsidP="00495F75">
      <w:pPr>
        <w:pStyle w:val="a6"/>
        <w:tabs>
          <w:tab w:val="left" w:pos="567"/>
        </w:tabs>
        <w:ind w:right="28"/>
        <w:jc w:val="both"/>
        <w:rPr>
          <w:b/>
          <w:bCs/>
        </w:rPr>
      </w:pPr>
    </w:p>
    <w:p w:rsidR="00495F75" w:rsidRDefault="002179A5" w:rsidP="002179A5">
      <w:pPr>
        <w:pStyle w:val="a6"/>
        <w:tabs>
          <w:tab w:val="left" w:pos="567"/>
        </w:tabs>
        <w:ind w:right="28"/>
        <w:jc w:val="both"/>
        <w:rPr>
          <w:bCs/>
          <w:lang w:val="en-US"/>
        </w:rPr>
      </w:pPr>
      <w:r w:rsidRPr="00D94B3A">
        <w:rPr>
          <w:b/>
          <w:bCs/>
        </w:rPr>
        <w:lastRenderedPageBreak/>
        <w:t xml:space="preserve">2. </w:t>
      </w:r>
      <w:bookmarkStart w:id="0" w:name="_Hlk521315865"/>
      <w:r w:rsidRPr="00FA255F">
        <w:rPr>
          <w:b/>
          <w:lang w:val="en-US"/>
        </w:rPr>
        <w:t>Information on auction</w:t>
      </w:r>
      <w:bookmarkEnd w:id="0"/>
      <w:r w:rsidRPr="00923A3F">
        <w:rPr>
          <w:b/>
          <w:bCs/>
        </w:rPr>
        <w:t>:</w:t>
      </w:r>
      <w:r w:rsidR="005712B3" w:rsidRPr="005712B3">
        <w:rPr>
          <w:bCs/>
          <w:lang w:val="en-US"/>
        </w:rPr>
        <w:t xml:space="preserve"> </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443109">
        <w:rPr>
          <w:lang w:val="en-US"/>
        </w:rPr>
        <w:t>July</w:t>
      </w:r>
      <w:r>
        <w:t xml:space="preserve"> </w:t>
      </w:r>
      <w:r w:rsidR="00EC0155">
        <w:t>26</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8A6AA3">
        <w:rPr>
          <w:bCs/>
          <w:color w:val="000000"/>
          <w:lang w:val="en-US"/>
        </w:rPr>
        <w:t>in an auction with conditions,</w:t>
      </w:r>
      <w:r w:rsidRPr="00604BA5">
        <w:rPr>
          <w:b/>
          <w:bCs/>
          <w:color w:val="000000"/>
          <w:lang w:val="en-US"/>
        </w:rPr>
        <w:t xml:space="preserve"> </w:t>
      </w:r>
      <w:r w:rsidRPr="003E6934">
        <w:rPr>
          <w:bCs/>
          <w:color w:val="000000"/>
          <w:lang w:val="en-US"/>
        </w:rPr>
        <w:t>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w:t>
      </w:r>
      <w:r w:rsidRPr="008A6AA3">
        <w:rPr>
          <w:bCs/>
          <w:color w:val="000000"/>
          <w:lang w:val="en-US"/>
        </w:rPr>
        <w:t>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F836E4">
      <w:pPr>
        <w:ind w:right="28"/>
        <w:jc w:val="both"/>
        <w:rPr>
          <w:bCs/>
          <w:lang w:val="en-US"/>
        </w:rPr>
      </w:pPr>
      <w:r w:rsidRPr="00590E13">
        <w:rPr>
          <w:bCs/>
          <w:color w:val="000000"/>
          <w:lang w:val="en-US"/>
        </w:rPr>
        <w:t xml:space="preserve">Privatization </w:t>
      </w:r>
      <w:r w:rsidR="00495F75" w:rsidRPr="00590E13">
        <w:rPr>
          <w:bCs/>
          <w:color w:val="000000"/>
          <w:lang w:val="en-US"/>
        </w:rPr>
        <w:t xml:space="preserve">of </w:t>
      </w:r>
      <w:r w:rsidR="00075F3C">
        <w:rPr>
          <w:bCs/>
          <w:color w:val="000000"/>
          <w:lang w:val="en-US"/>
        </w:rPr>
        <w:t xml:space="preserve">a </w:t>
      </w:r>
      <w:r w:rsidR="00F836E4" w:rsidRPr="00F836E4">
        <w:rPr>
          <w:bCs/>
          <w:color w:val="000000"/>
          <w:lang w:val="en-US"/>
        </w:rPr>
        <w:t>Unified Property Complex – Structural subdivision of State-owned enterprise “Administrative Directorate of the State Property Fund of Ukraine” (Dnipro bra</w:t>
      </w:r>
      <w:r w:rsidR="00F836E4">
        <w:rPr>
          <w:bCs/>
          <w:color w:val="000000"/>
          <w:lang w:val="en-US"/>
        </w:rPr>
        <w:t xml:space="preserve">nch) is located at the address: </w:t>
      </w:r>
      <w:r w:rsidR="00F836E4" w:rsidRPr="00F836E4">
        <w:rPr>
          <w:bCs/>
          <w:color w:val="000000"/>
          <w:lang w:val="en-US"/>
        </w:rPr>
        <w:t xml:space="preserve">25, </w:t>
      </w:r>
      <w:proofErr w:type="spellStart"/>
      <w:r w:rsidR="00F836E4" w:rsidRPr="00F836E4">
        <w:rPr>
          <w:bCs/>
          <w:color w:val="000000"/>
          <w:lang w:val="en-US"/>
        </w:rPr>
        <w:t>Kolomoitsivska</w:t>
      </w:r>
      <w:proofErr w:type="spellEnd"/>
      <w:r w:rsidR="00F836E4" w:rsidRPr="00F836E4">
        <w:rPr>
          <w:bCs/>
          <w:color w:val="000000"/>
          <w:lang w:val="en-US"/>
        </w:rPr>
        <w:t xml:space="preserve"> Street, </w:t>
      </w:r>
      <w:proofErr w:type="spellStart"/>
      <w:r w:rsidR="00F836E4" w:rsidRPr="00F836E4">
        <w:rPr>
          <w:bCs/>
          <w:color w:val="000000"/>
          <w:lang w:val="en-US"/>
        </w:rPr>
        <w:t>Kryvyi</w:t>
      </w:r>
      <w:proofErr w:type="spellEnd"/>
      <w:r w:rsidR="00F836E4" w:rsidRPr="00F836E4">
        <w:rPr>
          <w:bCs/>
          <w:color w:val="000000"/>
          <w:lang w:val="en-US"/>
        </w:rPr>
        <w:t xml:space="preserve"> </w:t>
      </w:r>
      <w:proofErr w:type="spellStart"/>
      <w:r w:rsidR="00F836E4" w:rsidRPr="00F836E4">
        <w:rPr>
          <w:bCs/>
          <w:color w:val="000000"/>
          <w:lang w:val="en-US"/>
        </w:rPr>
        <w:t>Rih</w:t>
      </w:r>
      <w:proofErr w:type="spellEnd"/>
      <w:r w:rsidR="00F836E4" w:rsidRPr="00F836E4">
        <w:rPr>
          <w:bCs/>
          <w:color w:val="000000"/>
          <w:lang w:val="en-US"/>
        </w:rPr>
        <w:t xml:space="preserve"> town, </w:t>
      </w:r>
      <w:proofErr w:type="spellStart"/>
      <w:r w:rsidR="00F836E4" w:rsidRPr="00F836E4">
        <w:rPr>
          <w:bCs/>
          <w:color w:val="000000"/>
          <w:lang w:val="en-US"/>
        </w:rPr>
        <w:t>Dnipropetrovska</w:t>
      </w:r>
      <w:proofErr w:type="spellEnd"/>
      <w:r w:rsidR="00F836E4" w:rsidRPr="00F836E4">
        <w:rPr>
          <w:bCs/>
          <w:color w:val="000000"/>
          <w:lang w:val="en-US"/>
        </w:rPr>
        <w:t xml:space="preserve"> oblast</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963C8E" w:rsidRDefault="00963C8E" w:rsidP="00963C8E">
      <w:pPr>
        <w:jc w:val="both"/>
        <w:rPr>
          <w:bCs/>
          <w:lang w:val="en-US"/>
        </w:rPr>
      </w:pPr>
      <w:r w:rsidRPr="000A53B8">
        <w:rPr>
          <w:bCs/>
          <w:lang w:val="en-US"/>
        </w:rPr>
        <w:t xml:space="preserve">In accordance with the requirements of Article 20 of the Law of Ukraine “On the Privatization of State and Communal Property” in cases stipulated by the legislation on the protection of economic competition, </w:t>
      </w:r>
      <w:r>
        <w:rPr>
          <w:bCs/>
          <w:lang w:val="en-US"/>
        </w:rPr>
        <w:t>the B</w:t>
      </w:r>
      <w:r w:rsidRPr="000A53B8">
        <w:rPr>
          <w:bCs/>
          <w:lang w:val="en-US"/>
        </w:rPr>
        <w:t>uyer is obliged to obtain permission from the Antimonopoly Committee of Ukraine for the direct or indirect acquisition of ownership of assets in the form of an integral</w:t>
      </w:r>
      <w:r>
        <w:rPr>
          <w:bCs/>
          <w:lang w:val="en-US"/>
        </w:rPr>
        <w:t xml:space="preserve"> property complex (hereinafter referred to as</w:t>
      </w:r>
      <w:r w:rsidRPr="000A53B8">
        <w:rPr>
          <w:bCs/>
          <w:lang w:val="en-US"/>
        </w:rPr>
        <w:t xml:space="preserve"> </w:t>
      </w:r>
      <w:r>
        <w:rPr>
          <w:b/>
          <w:bCs/>
          <w:lang w:val="en-US"/>
        </w:rPr>
        <w:t>the</w:t>
      </w:r>
      <w:r w:rsidRPr="000A53B8">
        <w:rPr>
          <w:b/>
          <w:bCs/>
          <w:lang w:val="en-US"/>
        </w:rPr>
        <w:t xml:space="preserve"> permission for concentration</w:t>
      </w:r>
      <w:r w:rsidRPr="000A53B8">
        <w:rPr>
          <w:bCs/>
          <w:lang w:val="en-US"/>
        </w:rPr>
        <w:t>).</w:t>
      </w:r>
      <w:r>
        <w:rPr>
          <w:bCs/>
          <w:lang w:val="en-US"/>
        </w:rPr>
        <w:t xml:space="preserve"> The P</w:t>
      </w:r>
      <w:r w:rsidRPr="00611640">
        <w:rPr>
          <w:bCs/>
          <w:lang w:val="en-US"/>
        </w:rPr>
        <w:t>rocedure for filing and considering an application for a concentration permit is established by the legislation on the protection of economic competition</w:t>
      </w:r>
      <w:r>
        <w:rPr>
          <w:bCs/>
          <w:lang w:val="en-US"/>
        </w:rPr>
        <w:t>.</w:t>
      </w:r>
    </w:p>
    <w:p w:rsidR="0002162D" w:rsidRDefault="0002162D" w:rsidP="00DA4866">
      <w:pPr>
        <w:jc w:val="both"/>
        <w:rPr>
          <w:lang w:val="en-US"/>
        </w:rPr>
      </w:pPr>
      <w:r w:rsidRPr="00604BA5">
        <w:rPr>
          <w:lang w:val="en-US"/>
        </w:rPr>
        <w:t>The Buyer</w:t>
      </w:r>
      <w:r w:rsidR="00590E13">
        <w:rPr>
          <w:lang w:val="en-US"/>
        </w:rPr>
        <w:t xml:space="preserve"> of </w:t>
      </w:r>
      <w:r w:rsidR="00963C8E">
        <w:rPr>
          <w:bCs/>
          <w:color w:val="000000"/>
          <w:lang w:val="en-US"/>
        </w:rPr>
        <w:t xml:space="preserve">a </w:t>
      </w:r>
      <w:r w:rsidR="00963C8E" w:rsidRPr="00F836E4">
        <w:rPr>
          <w:bCs/>
          <w:color w:val="000000"/>
          <w:lang w:val="en-US"/>
        </w:rPr>
        <w:t>Unified Property Complex – Structural subdivision of State-owned enterprise “Administrative Directorate of the State Property Fund of Ukraine” (Dnipro bra</w:t>
      </w:r>
      <w:r w:rsidR="00963C8E">
        <w:rPr>
          <w:bCs/>
          <w:color w:val="000000"/>
          <w:lang w:val="en-US"/>
        </w:rPr>
        <w:t xml:space="preserve">nch) is located at the address: </w:t>
      </w:r>
      <w:r w:rsidR="00963C8E" w:rsidRPr="00F836E4">
        <w:rPr>
          <w:bCs/>
          <w:color w:val="000000"/>
          <w:lang w:val="en-US"/>
        </w:rPr>
        <w:t xml:space="preserve">25, </w:t>
      </w:r>
      <w:proofErr w:type="spellStart"/>
      <w:r w:rsidR="00963C8E" w:rsidRPr="00F836E4">
        <w:rPr>
          <w:bCs/>
          <w:color w:val="000000"/>
          <w:lang w:val="en-US"/>
        </w:rPr>
        <w:t>Kolomoitsivska</w:t>
      </w:r>
      <w:proofErr w:type="spellEnd"/>
      <w:r w:rsidR="00963C8E" w:rsidRPr="00F836E4">
        <w:rPr>
          <w:bCs/>
          <w:color w:val="000000"/>
          <w:lang w:val="en-US"/>
        </w:rPr>
        <w:t xml:space="preserve"> Street, </w:t>
      </w:r>
      <w:proofErr w:type="spellStart"/>
      <w:r w:rsidR="00963C8E" w:rsidRPr="00F836E4">
        <w:rPr>
          <w:bCs/>
          <w:color w:val="000000"/>
          <w:lang w:val="en-US"/>
        </w:rPr>
        <w:t>Kryvyi</w:t>
      </w:r>
      <w:proofErr w:type="spellEnd"/>
      <w:r w:rsidR="00963C8E" w:rsidRPr="00F836E4">
        <w:rPr>
          <w:bCs/>
          <w:color w:val="000000"/>
          <w:lang w:val="en-US"/>
        </w:rPr>
        <w:t xml:space="preserve"> </w:t>
      </w:r>
      <w:proofErr w:type="spellStart"/>
      <w:r w:rsidR="00963C8E" w:rsidRPr="00F836E4">
        <w:rPr>
          <w:bCs/>
          <w:color w:val="000000"/>
          <w:lang w:val="en-US"/>
        </w:rPr>
        <w:t>Rih</w:t>
      </w:r>
      <w:proofErr w:type="spellEnd"/>
      <w:r w:rsidR="00963C8E" w:rsidRPr="00F836E4">
        <w:rPr>
          <w:bCs/>
          <w:color w:val="000000"/>
          <w:lang w:val="en-US"/>
        </w:rPr>
        <w:t xml:space="preserve"> town, </w:t>
      </w:r>
      <w:proofErr w:type="spellStart"/>
      <w:r w:rsidR="00963C8E" w:rsidRPr="00F836E4">
        <w:rPr>
          <w:bCs/>
          <w:color w:val="000000"/>
          <w:lang w:val="en-US"/>
        </w:rPr>
        <w:t>Dnipropetrovska</w:t>
      </w:r>
      <w:proofErr w:type="spellEnd"/>
      <w:r w:rsidR="00963C8E" w:rsidRPr="00F836E4">
        <w:rPr>
          <w:bCs/>
          <w:color w:val="000000"/>
          <w:lang w:val="en-US"/>
        </w:rPr>
        <w:t xml:space="preserve"> oblast</w:t>
      </w:r>
      <w:r w:rsidR="00BD7C00" w:rsidRPr="00590E13">
        <w:rPr>
          <w:bCs/>
          <w:color w:val="000000"/>
          <w:lang w:val="en-US"/>
        </w:rPr>
        <w:t xml:space="preserve">, </w:t>
      </w:r>
      <w:r w:rsidR="00BD7C00">
        <w:rPr>
          <w:lang w:val="en-US"/>
        </w:rPr>
        <w:t>must meet the requirements of A</w:t>
      </w:r>
      <w:r w:rsidRPr="00604BA5">
        <w:rPr>
          <w:lang w:val="en-US"/>
        </w:rPr>
        <w:t>rticle 8 of the Law of Ukraine “On Privatization of State and Communal Property</w:t>
      </w:r>
      <w:r w:rsidRPr="009B3D7F">
        <w:rPr>
          <w:lang w:val="en-US"/>
        </w:rPr>
        <w:t>.</w:t>
      </w:r>
    </w:p>
    <w:p w:rsidR="00FC368D" w:rsidRDefault="00FC368D" w:rsidP="00FC368D">
      <w:pPr>
        <w:ind w:firstLine="708"/>
        <w:jc w:val="both"/>
        <w:rPr>
          <w:bCs/>
          <w:lang w:val="en-US"/>
        </w:rPr>
      </w:pPr>
      <w:r>
        <w:rPr>
          <w:bCs/>
          <w:lang w:val="en-US"/>
        </w:rPr>
        <w:t>According to the Law of Ukraine “</w:t>
      </w:r>
      <w:r w:rsidRPr="00072A15">
        <w:rPr>
          <w:bCs/>
          <w:lang w:val="en-US"/>
        </w:rPr>
        <w:t>On the Privatization</w:t>
      </w:r>
      <w:r>
        <w:rPr>
          <w:bCs/>
          <w:lang w:val="en-US"/>
        </w:rPr>
        <w:t xml:space="preserve"> of State and Communal Property”, the B</w:t>
      </w:r>
      <w:r w:rsidRPr="00072A15">
        <w:rPr>
          <w:bCs/>
          <w:lang w:val="en-US"/>
        </w:rPr>
        <w:t>uyer becomes the legal successor of all property rights and obligations of the enterprise, except for the right to permanent use of the land plot</w:t>
      </w:r>
      <w:r>
        <w:rPr>
          <w:bCs/>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B719C2">
        <w:rPr>
          <w:lang w:val="en-US"/>
        </w:rPr>
        <w:t>75</w:t>
      </w:r>
      <w:r w:rsidR="006F697F">
        <w:rPr>
          <w:lang w:val="en-US"/>
        </w:rPr>
        <w:t>,</w:t>
      </w:r>
      <w:r w:rsidR="00B719C2">
        <w:rPr>
          <w:lang w:val="en-US"/>
        </w:rPr>
        <w:t>612,843</w:t>
      </w:r>
      <w:r w:rsidR="006F697F">
        <w:rPr>
          <w:lang w:val="en-US"/>
        </w:rPr>
        <w:t>.</w:t>
      </w:r>
      <w:r w:rsidR="00B719C2">
        <w:rPr>
          <w:lang w:val="en-US"/>
        </w:rPr>
        <w:t>00</w:t>
      </w:r>
      <w:r w:rsidR="006F697F">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7D69DF">
        <w:rPr>
          <w:lang w:val="en-US"/>
        </w:rPr>
        <w:t>37</w:t>
      </w:r>
      <w:r w:rsidR="006F697F">
        <w:rPr>
          <w:lang w:val="en-US"/>
        </w:rPr>
        <w:t>,</w:t>
      </w:r>
      <w:r w:rsidR="007D69DF">
        <w:rPr>
          <w:lang w:val="en-US"/>
        </w:rPr>
        <w:t>806,421</w:t>
      </w:r>
      <w:r w:rsidR="006F697F">
        <w:rPr>
          <w:lang w:val="en-US"/>
        </w:rPr>
        <w:t>.</w:t>
      </w:r>
      <w:r w:rsidR="007D69DF">
        <w:rPr>
          <w:lang w:val="en-US"/>
        </w:rPr>
        <w:t>50</w:t>
      </w:r>
      <w:r w:rsidR="003B4573">
        <w:rPr>
          <w:lang w:val="en-US"/>
        </w:rPr>
        <w:t xml:space="preserve"> </w:t>
      </w:r>
      <w:r w:rsidR="003B4573" w:rsidRPr="00FE1112">
        <w:rPr>
          <w:bCs/>
          <w:lang w:val="en-US"/>
        </w:rPr>
        <w:t>(excluding VAT)</w:t>
      </w:r>
      <w:r w:rsidR="00DF5AEC" w:rsidRPr="00084ED1">
        <w:t>;</w:t>
      </w:r>
    </w:p>
    <w:p w:rsidR="006F697F" w:rsidRPr="006F697F" w:rsidRDefault="003B4573" w:rsidP="0036467B">
      <w:pPr>
        <w:pStyle w:val="a6"/>
        <w:numPr>
          <w:ilvl w:val="0"/>
          <w:numId w:val="5"/>
        </w:numPr>
        <w:tabs>
          <w:tab w:val="left" w:pos="567"/>
        </w:tabs>
        <w:spacing w:after="0"/>
        <w:ind w:left="714" w:right="28" w:hanging="357"/>
        <w:jc w:val="both"/>
      </w:pPr>
      <w:r w:rsidRPr="00604BA5">
        <w:rPr>
          <w:bCs/>
          <w:color w:val="000000"/>
          <w:lang w:val="en-US"/>
        </w:rPr>
        <w:t>an auction by a method of step-by-step price reduction and</w:t>
      </w:r>
      <w:r w:rsidR="006F697F">
        <w:rPr>
          <w:bCs/>
          <w:color w:val="000000"/>
          <w:lang w:val="en-US"/>
        </w:rPr>
        <w:t xml:space="preserve"> subsequent submission of price</w:t>
      </w:r>
    </w:p>
    <w:p w:rsidR="003B4573" w:rsidRPr="00205C1E" w:rsidRDefault="003B4573" w:rsidP="006F697F">
      <w:pPr>
        <w:pStyle w:val="a6"/>
        <w:tabs>
          <w:tab w:val="left" w:pos="567"/>
        </w:tabs>
        <w:spacing w:after="0"/>
        <w:ind w:right="28"/>
        <w:jc w:val="both"/>
      </w:pPr>
      <w:r w:rsidRPr="00604BA5">
        <w:rPr>
          <w:bCs/>
          <w:color w:val="000000"/>
          <w:lang w:val="en-US"/>
        </w:rPr>
        <w:t>offers</w:t>
      </w:r>
      <w:r w:rsidRPr="00604BA5">
        <w:rPr>
          <w:lang w:val="en-US"/>
        </w:rPr>
        <w:t xml:space="preserve"> – UAH</w:t>
      </w:r>
      <w:r w:rsidRPr="00205C1E">
        <w:rPr>
          <w:b/>
          <w:bCs/>
        </w:rPr>
        <w:t xml:space="preserve"> </w:t>
      </w:r>
      <w:r w:rsidR="004D4A62">
        <w:rPr>
          <w:lang w:val="en-US"/>
        </w:rPr>
        <w:t xml:space="preserve">37,806,421.50 </w:t>
      </w:r>
      <w:r w:rsidRPr="00FE1112">
        <w:rPr>
          <w:bCs/>
          <w:lang w:val="en-US"/>
        </w:rPr>
        <w:t>(excluding VAT)</w:t>
      </w:r>
      <w:r>
        <w:t>.</w:t>
      </w: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29580C">
      <w:pPr>
        <w:pStyle w:val="a6"/>
        <w:tabs>
          <w:tab w:val="left" w:pos="567"/>
        </w:tabs>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an auction with conditions –</w:t>
      </w:r>
      <w:r w:rsidR="00746C2B" w:rsidRPr="000741EA">
        <w:t xml:space="preserve"> </w:t>
      </w:r>
      <w:r w:rsidR="00746C2B">
        <w:rPr>
          <w:lang w:val="en-US"/>
        </w:rPr>
        <w:t xml:space="preserve"> UAH </w:t>
      </w:r>
      <w:r w:rsidR="00E028CC">
        <w:rPr>
          <w:lang w:val="en-US"/>
        </w:rPr>
        <w:t>7</w:t>
      </w:r>
      <w:r w:rsidR="00746C2B">
        <w:rPr>
          <w:lang w:val="en-US"/>
        </w:rPr>
        <w:t>,</w:t>
      </w:r>
      <w:r w:rsidR="00E028CC">
        <w:rPr>
          <w:lang w:val="en-US"/>
        </w:rPr>
        <w:t>561,284</w:t>
      </w:r>
      <w:r w:rsidR="00746C2B">
        <w:rPr>
          <w:lang w:val="en-US"/>
        </w:rPr>
        <w:t>.</w:t>
      </w:r>
      <w:r w:rsidR="00E028CC">
        <w:rPr>
          <w:lang w:val="en-US"/>
        </w:rPr>
        <w:t>30</w:t>
      </w:r>
      <w:r>
        <w:rPr>
          <w:lang w:val="en-US"/>
        </w:rPr>
        <w:t xml:space="preserve">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r w:rsidR="000733F7" w:rsidRPr="00604BA5">
        <w:rPr>
          <w:lang w:val="en-US"/>
        </w:rPr>
        <w:t>an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E028CC">
        <w:rPr>
          <w:lang w:val="en-US"/>
        </w:rPr>
        <w:t>3</w:t>
      </w:r>
      <w:r w:rsidR="000733F7">
        <w:rPr>
          <w:lang w:val="en-US"/>
        </w:rPr>
        <w:t>,</w:t>
      </w:r>
      <w:r w:rsidR="00E028CC">
        <w:rPr>
          <w:lang w:val="en-US"/>
        </w:rPr>
        <w:t>780,642</w:t>
      </w:r>
      <w:r w:rsidR="000733F7">
        <w:rPr>
          <w:lang w:val="en-US"/>
        </w:rPr>
        <w:t>.</w:t>
      </w:r>
      <w:r w:rsidR="00E028CC">
        <w:rPr>
          <w:lang w:val="en-US"/>
        </w:rPr>
        <w:t>15</w:t>
      </w:r>
      <w:r>
        <w:rPr>
          <w:lang w:val="en-US"/>
        </w:rPr>
        <w:t xml:space="preserve">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r w:rsidR="00491A43" w:rsidRPr="00604BA5">
        <w:rPr>
          <w:bCs/>
          <w:color w:val="000000"/>
          <w:lang w:val="en-US"/>
        </w:rPr>
        <w:t>an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E028CC">
        <w:rPr>
          <w:lang w:val="en-US"/>
        </w:rPr>
        <w:t xml:space="preserve">3,780,642.15 </w:t>
      </w:r>
      <w:r w:rsidRPr="00FE1112">
        <w:rPr>
          <w:bCs/>
          <w:lang w:val="en-US"/>
        </w:rPr>
        <w:t>(excluding VAT)</w:t>
      </w:r>
      <w:r w:rsidR="00DF5AEC" w:rsidRPr="000741EA">
        <w:t>.</w:t>
      </w:r>
    </w:p>
    <w:p w:rsidR="00705036" w:rsidRPr="00705036" w:rsidRDefault="00705036" w:rsidP="00705036">
      <w:pPr>
        <w:pStyle w:val="a6"/>
        <w:tabs>
          <w:tab w:val="left" w:pos="567"/>
        </w:tabs>
        <w:spacing w:after="0"/>
        <w:ind w:right="28"/>
        <w:jc w:val="both"/>
        <w:rPr>
          <w:lang w:val="en-US"/>
        </w:rPr>
      </w:pP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hryvnias 00 kopecks.  </w:t>
      </w:r>
      <w:r w:rsidR="00DF5AEC" w:rsidRPr="00205C1E">
        <w:t>.</w:t>
      </w:r>
    </w:p>
    <w:p w:rsidR="00511D15" w:rsidRDefault="00511D15" w:rsidP="00DB35C1">
      <w:pPr>
        <w:pStyle w:val="3"/>
        <w:jc w:val="both"/>
        <w:rPr>
          <w:b/>
          <w:i w:val="0"/>
          <w:color w:val="000000"/>
          <w:sz w:val="24"/>
          <w:szCs w:val="24"/>
          <w:lang w:val="en-US"/>
        </w:rPr>
      </w:pPr>
      <w:r w:rsidRPr="007620AC">
        <w:rPr>
          <w:b/>
          <w:bCs/>
          <w:i w:val="0"/>
          <w:sz w:val="24"/>
          <w:szCs w:val="24"/>
          <w:lang w:val="en-US"/>
        </w:rPr>
        <w:lastRenderedPageBreak/>
        <w:t>Terms of sale</w:t>
      </w:r>
      <w:r w:rsidR="00E72F8B">
        <w:rPr>
          <w:b/>
          <w:bCs/>
          <w:i w:val="0"/>
          <w:sz w:val="24"/>
          <w:szCs w:val="24"/>
          <w:lang w:val="en-US"/>
        </w:rPr>
        <w:t xml:space="preserve"> of privatization object</w:t>
      </w:r>
      <w:r w:rsidRPr="007620AC">
        <w:rPr>
          <w:b/>
          <w:i w:val="0"/>
          <w:color w:val="000000"/>
          <w:sz w:val="24"/>
          <w:szCs w:val="24"/>
        </w:rPr>
        <w:t>:</w:t>
      </w:r>
      <w:r w:rsidR="00360D0B">
        <w:rPr>
          <w:b/>
          <w:i w:val="0"/>
          <w:color w:val="000000"/>
          <w:sz w:val="24"/>
          <w:szCs w:val="24"/>
          <w:lang w:val="en-US"/>
        </w:rPr>
        <w:t xml:space="preserve"> </w:t>
      </w:r>
    </w:p>
    <w:p w:rsidR="00E72F8B" w:rsidRDefault="00FC3797" w:rsidP="00DB35C1">
      <w:pPr>
        <w:pStyle w:val="3"/>
        <w:jc w:val="both"/>
        <w:rPr>
          <w:bCs/>
          <w:i w:val="0"/>
          <w:color w:val="000000"/>
          <w:sz w:val="24"/>
          <w:szCs w:val="24"/>
          <w:lang w:val="en-US"/>
        </w:rPr>
      </w:pPr>
      <w:r w:rsidRPr="00FC3797">
        <w:rPr>
          <w:i w:val="0"/>
          <w:sz w:val="24"/>
          <w:szCs w:val="24"/>
          <w:lang w:val="en-US"/>
        </w:rPr>
        <w:t xml:space="preserve">The Buyer of </w:t>
      </w:r>
      <w:r w:rsidRPr="00FC3797">
        <w:rPr>
          <w:bCs/>
          <w:i w:val="0"/>
          <w:sz w:val="24"/>
          <w:szCs w:val="24"/>
          <w:lang w:val="en-US"/>
        </w:rPr>
        <w:t xml:space="preserve">a Unified Property Complex – Structural subdivision of State-owned enterprise “Administrative Directorate of the State Property Fund of Ukraine” (Dnipro branch) is located at the address: 25, </w:t>
      </w:r>
      <w:proofErr w:type="spellStart"/>
      <w:r w:rsidRPr="00FC3797">
        <w:rPr>
          <w:bCs/>
          <w:i w:val="0"/>
          <w:sz w:val="24"/>
          <w:szCs w:val="24"/>
          <w:lang w:val="en-US"/>
        </w:rPr>
        <w:t>Kolomoitsivska</w:t>
      </w:r>
      <w:proofErr w:type="spellEnd"/>
      <w:r w:rsidRPr="00FC3797">
        <w:rPr>
          <w:bCs/>
          <w:i w:val="0"/>
          <w:sz w:val="24"/>
          <w:szCs w:val="24"/>
          <w:lang w:val="en-US"/>
        </w:rPr>
        <w:t xml:space="preserve"> Street, </w:t>
      </w:r>
      <w:proofErr w:type="spellStart"/>
      <w:r w:rsidRPr="00FC3797">
        <w:rPr>
          <w:bCs/>
          <w:i w:val="0"/>
          <w:sz w:val="24"/>
          <w:szCs w:val="24"/>
          <w:lang w:val="en-US"/>
        </w:rPr>
        <w:t>Kryvyi</w:t>
      </w:r>
      <w:proofErr w:type="spellEnd"/>
      <w:r w:rsidRPr="00FC3797">
        <w:rPr>
          <w:bCs/>
          <w:i w:val="0"/>
          <w:sz w:val="24"/>
          <w:szCs w:val="24"/>
          <w:lang w:val="en-US"/>
        </w:rPr>
        <w:t xml:space="preserve"> </w:t>
      </w:r>
      <w:proofErr w:type="spellStart"/>
      <w:r w:rsidRPr="00FC3797">
        <w:rPr>
          <w:bCs/>
          <w:i w:val="0"/>
          <w:sz w:val="24"/>
          <w:szCs w:val="24"/>
          <w:lang w:val="en-US"/>
        </w:rPr>
        <w:t>Rih</w:t>
      </w:r>
      <w:proofErr w:type="spellEnd"/>
      <w:r w:rsidRPr="00FC3797">
        <w:rPr>
          <w:bCs/>
          <w:i w:val="0"/>
          <w:sz w:val="24"/>
          <w:szCs w:val="24"/>
          <w:lang w:val="en-US"/>
        </w:rPr>
        <w:t xml:space="preserve"> town, </w:t>
      </w:r>
      <w:proofErr w:type="spellStart"/>
      <w:r w:rsidRPr="00FC3797">
        <w:rPr>
          <w:bCs/>
          <w:i w:val="0"/>
          <w:sz w:val="24"/>
          <w:szCs w:val="24"/>
          <w:lang w:val="en-US"/>
        </w:rPr>
        <w:t>Dnipropetrovska</w:t>
      </w:r>
      <w:proofErr w:type="spellEnd"/>
      <w:r w:rsidRPr="00FC3797">
        <w:rPr>
          <w:bCs/>
          <w:i w:val="0"/>
          <w:sz w:val="24"/>
          <w:szCs w:val="24"/>
          <w:lang w:val="en-US"/>
        </w:rPr>
        <w:t xml:space="preserve"> oblast</w:t>
      </w:r>
      <w:r w:rsidR="002A71F8" w:rsidRPr="002A71F8">
        <w:rPr>
          <w:bCs/>
          <w:i w:val="0"/>
          <w:color w:val="000000"/>
          <w:sz w:val="24"/>
          <w:szCs w:val="24"/>
          <w:lang w:val="en-US"/>
        </w:rPr>
        <w:t xml:space="preserve"> </w:t>
      </w:r>
      <w:r w:rsidR="00876B93" w:rsidRPr="00876B93">
        <w:rPr>
          <w:bCs/>
          <w:i w:val="0"/>
          <w:color w:val="000000"/>
          <w:sz w:val="24"/>
          <w:szCs w:val="24"/>
          <w:lang w:val="en-US"/>
        </w:rPr>
        <w:t xml:space="preserve">from the moment of transfer of ownership of the privatization </w:t>
      </w:r>
      <w:r w:rsidR="00876B93">
        <w:rPr>
          <w:bCs/>
          <w:i w:val="0"/>
          <w:color w:val="000000"/>
          <w:sz w:val="24"/>
          <w:szCs w:val="24"/>
          <w:lang w:val="en-US"/>
        </w:rPr>
        <w:t>object must provide:</w:t>
      </w:r>
    </w:p>
    <w:p w:rsidR="00876B93" w:rsidRDefault="00AA60AF" w:rsidP="00AA60AF">
      <w:pPr>
        <w:pStyle w:val="3"/>
        <w:numPr>
          <w:ilvl w:val="0"/>
          <w:numId w:val="5"/>
        </w:numPr>
        <w:jc w:val="both"/>
        <w:rPr>
          <w:i w:val="0"/>
          <w:iCs w:val="0"/>
          <w:color w:val="000000"/>
          <w:sz w:val="24"/>
          <w:szCs w:val="24"/>
          <w:lang w:val="en-US"/>
        </w:rPr>
      </w:pPr>
      <w:r w:rsidRPr="00AA60AF">
        <w:rPr>
          <w:i w:val="0"/>
          <w:iCs w:val="0"/>
          <w:color w:val="000000"/>
          <w:sz w:val="24"/>
          <w:szCs w:val="24"/>
          <w:lang w:val="en-US"/>
        </w:rPr>
        <w:t>compliance with the requirements and additional restrictions of environmental legislation on the use of the facility</w:t>
      </w:r>
      <w:r>
        <w:rPr>
          <w:i w:val="0"/>
          <w:iCs w:val="0"/>
          <w:color w:val="000000"/>
          <w:sz w:val="24"/>
          <w:szCs w:val="24"/>
          <w:lang w:val="en-US"/>
        </w:rPr>
        <w:t>.</w:t>
      </w:r>
    </w:p>
    <w:p w:rsidR="004B1D4F" w:rsidRPr="00387E31" w:rsidRDefault="00387E31" w:rsidP="004B1D4F">
      <w:pPr>
        <w:pStyle w:val="3"/>
        <w:jc w:val="both"/>
        <w:rPr>
          <w:i w:val="0"/>
          <w:iCs w:val="0"/>
          <w:color w:val="000000"/>
          <w:sz w:val="24"/>
          <w:szCs w:val="24"/>
          <w:lang w:val="en-US"/>
        </w:rPr>
      </w:pPr>
      <w:r w:rsidRPr="00387E31">
        <w:rPr>
          <w:i w:val="0"/>
          <w:iCs w:val="0"/>
          <w:color w:val="000000"/>
          <w:sz w:val="24"/>
          <w:szCs w:val="24"/>
          <w:lang w:val="en-US"/>
        </w:rPr>
        <w:t>The term f</w:t>
      </w:r>
      <w:r w:rsidR="002A71F8">
        <w:rPr>
          <w:i w:val="0"/>
          <w:iCs w:val="0"/>
          <w:color w:val="000000"/>
          <w:sz w:val="24"/>
          <w:szCs w:val="24"/>
          <w:lang w:val="en-US"/>
        </w:rPr>
        <w:t>or the fulfillment of the Buyer’</w:t>
      </w:r>
      <w:r w:rsidRPr="00387E31">
        <w:rPr>
          <w:i w:val="0"/>
          <w:iCs w:val="0"/>
          <w:color w:val="000000"/>
          <w:sz w:val="24"/>
          <w:szCs w:val="24"/>
          <w:lang w:val="en-US"/>
        </w:rPr>
        <w:t>s obligations under conditions that do not have a specific deadline for their fulfillment does not exceed five years from the date of transfer to the buyer of ownership of the privatization object in accordance with the requirements of part three of Ar</w:t>
      </w:r>
      <w:r>
        <w:rPr>
          <w:i w:val="0"/>
          <w:iCs w:val="0"/>
          <w:color w:val="000000"/>
          <w:sz w:val="24"/>
          <w:szCs w:val="24"/>
          <w:lang w:val="en-US"/>
        </w:rPr>
        <w:t>ticle 27 of the Law of Ukraine “</w:t>
      </w:r>
      <w:r w:rsidRPr="00387E31">
        <w:rPr>
          <w:i w:val="0"/>
          <w:iCs w:val="0"/>
          <w:color w:val="000000"/>
          <w:sz w:val="24"/>
          <w:szCs w:val="24"/>
          <w:lang w:val="en-US"/>
        </w:rPr>
        <w:t>On Privatization</w:t>
      </w:r>
      <w:r>
        <w:rPr>
          <w:i w:val="0"/>
          <w:iCs w:val="0"/>
          <w:color w:val="000000"/>
          <w:sz w:val="24"/>
          <w:szCs w:val="24"/>
          <w:lang w:val="en-US"/>
        </w:rPr>
        <w:t xml:space="preserve"> of State and Communal Property”</w:t>
      </w:r>
      <w:r w:rsidRPr="00387E31">
        <w:rPr>
          <w:i w:val="0"/>
          <w:iCs w:val="0"/>
          <w:color w:val="000000"/>
          <w:sz w:val="24"/>
          <w:szCs w:val="24"/>
          <w:lang w:val="en-US"/>
        </w:rPr>
        <w:t>.</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proofErr w:type="gramStart"/>
      <w:r w:rsidRPr="00604BA5">
        <w:rPr>
          <w:sz w:val="24"/>
          <w:szCs w:val="24"/>
          <w:lang w:val="en-US"/>
        </w:rPr>
        <w:t>Account</w:t>
      </w:r>
      <w:r>
        <w:rPr>
          <w:iCs/>
          <w:sz w:val="24"/>
          <w:szCs w:val="24"/>
          <w:lang w:val="en-US"/>
        </w:rPr>
        <w:t xml:space="preserve"> :</w:t>
      </w:r>
      <w:proofErr w:type="gramEnd"/>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076E48" w:rsidRPr="006A634B" w:rsidRDefault="00076E48" w:rsidP="00076E48">
      <w:pPr>
        <w:pStyle w:val="32"/>
        <w:shd w:val="clear" w:color="auto" w:fill="auto"/>
        <w:tabs>
          <w:tab w:val="left" w:pos="720"/>
        </w:tabs>
        <w:spacing w:before="0" w:after="0" w:line="240" w:lineRule="auto"/>
        <w:rPr>
          <w:b/>
          <w:sz w:val="24"/>
          <w:szCs w:val="24"/>
          <w:lang w:val="en-US"/>
        </w:rPr>
      </w:pPr>
      <w:r w:rsidRPr="006A634B">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EA6759" w:rsidP="004F2BD8">
      <w:pPr>
        <w:pStyle w:val="a8"/>
        <w:spacing w:before="0" w:beforeAutospacing="0" w:after="0" w:afterAutospacing="0"/>
        <w:jc w:val="both"/>
        <w:rPr>
          <w:lang w:val="uk-UA"/>
        </w:rPr>
      </w:pPr>
      <w:r>
        <w:fldChar w:fldCharType="begin"/>
      </w:r>
      <w:r w:rsidRPr="00EA6759">
        <w:rPr>
          <w:lang w:val="en-US"/>
        </w:rPr>
        <w:instrText xml:space="preserve"> HYPERLINK "https://prozorro.sale/info/elektronni-majdanchiki-ets-prozorroprodazhi-cbd2" </w:instrText>
      </w:r>
      <w:r>
        <w:fldChar w:fldCharType="separate"/>
      </w:r>
      <w:r w:rsidR="00DF5AEC" w:rsidRPr="00076E48">
        <w:rPr>
          <w:rStyle w:val="a4"/>
          <w:sz w:val="23"/>
          <w:szCs w:val="23"/>
          <w:lang w:val="en-US"/>
        </w:rPr>
        <w:t>https://prozorro.sale/info/elektronni-majdanchiki-ets-prozorroprodazhi-cbd2</w:t>
      </w:r>
      <w:r>
        <w:rPr>
          <w:rStyle w:val="a4"/>
          <w:sz w:val="23"/>
          <w:szCs w:val="23"/>
          <w:lang w:val="en-US"/>
        </w:rPr>
        <w:fldChar w:fldCharType="end"/>
      </w:r>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0A3C29" w:rsidRPr="00604BA5" w:rsidRDefault="000A3C29" w:rsidP="00D54FDA">
      <w:pPr>
        <w:pStyle w:val="a6"/>
        <w:tabs>
          <w:tab w:val="left" w:pos="567"/>
          <w:tab w:val="left" w:pos="993"/>
        </w:tabs>
        <w:spacing w:after="0"/>
        <w:ind w:right="-28"/>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F5AEC" w:rsidRPr="000A3C29" w:rsidRDefault="00D608D4" w:rsidP="00DF5AEC">
      <w:pPr>
        <w:jc w:val="both"/>
        <w:rPr>
          <w:i/>
          <w:lang w:val="en-US"/>
        </w:rPr>
      </w:pPr>
      <w:r w:rsidRPr="00604BA5">
        <w:rPr>
          <w:lang w:val="en-US"/>
        </w:rPr>
        <w:t xml:space="preserve">The contact person of the auction organizer, who is responsible for ensuring the possibility of </w:t>
      </w:r>
      <w:r w:rsidR="004850D8" w:rsidRPr="004850D8">
        <w:rPr>
          <w:lang w:val="en-US"/>
        </w:rPr>
        <w:t xml:space="preserve">acquaintance </w:t>
      </w:r>
      <w:r w:rsidRPr="00604BA5">
        <w:rPr>
          <w:lang w:val="en-US"/>
        </w:rPr>
        <w:t xml:space="preserve">of the object, is </w:t>
      </w:r>
      <w:r w:rsidR="00844B54">
        <w:rPr>
          <w:lang w:val="en-US"/>
        </w:rPr>
        <w:t xml:space="preserve">Oliynyk Natalia </w:t>
      </w:r>
      <w:proofErr w:type="spellStart"/>
      <w:r w:rsidR="00844B54">
        <w:rPr>
          <w:lang w:val="en-US"/>
        </w:rPr>
        <w:t>Georhiivna</w:t>
      </w:r>
      <w:proofErr w:type="spellEnd"/>
      <w:r w:rsidR="004850D8">
        <w:rPr>
          <w:lang w:val="en-US"/>
        </w:rPr>
        <w:t>,</w:t>
      </w:r>
      <w:r>
        <w:rPr>
          <w:lang w:val="en-US"/>
        </w:rPr>
        <w:t xml:space="preserve"> tel. +38 (056</w:t>
      </w:r>
      <w:r w:rsidRPr="00604BA5">
        <w:rPr>
          <w:lang w:val="en-US"/>
        </w:rPr>
        <w:t xml:space="preserve">) 744-11-41, e-mail: </w:t>
      </w:r>
      <w:hyperlink r:id="rId5" w:history="1">
        <w:r w:rsidR="009B66C3" w:rsidRPr="002A389B">
          <w:rPr>
            <w:rStyle w:val="a4"/>
            <w:lang w:val="en-US"/>
          </w:rPr>
          <w:t>reform_12@spfu.gov.ua</w:t>
        </w:r>
      </w:hyperlink>
      <w:r>
        <w:rPr>
          <w:lang w:val="en-US"/>
        </w:rPr>
        <w:t>.</w:t>
      </w: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r w:rsidRPr="00604BA5">
        <w:rPr>
          <w:lang w:val="en-US"/>
        </w:rPr>
        <w:t>Dnipro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Pr="00604BA5">
        <w:rPr>
          <w:lang w:val="en-US"/>
        </w:rPr>
        <w:t xml:space="preserve">. </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lastRenderedPageBreak/>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proofErr w:type="gramStart"/>
      <w:r w:rsidRPr="00604BA5">
        <w:rPr>
          <w:bCs/>
          <w:lang w:val="en-US"/>
        </w:rPr>
        <w:t>the</w:t>
      </w:r>
      <w:proofErr w:type="gramEnd"/>
      <w:r w:rsidRPr="00604BA5">
        <w:rPr>
          <w:bCs/>
          <w:lang w:val="en-US"/>
        </w:rPr>
        <w:t xml:space="preserv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9B66C3">
        <w:rPr>
          <w:lang w:val="en-US"/>
        </w:rPr>
        <w:t xml:space="preserve">of </w:t>
      </w:r>
      <w:r w:rsidR="009B66C3" w:rsidRPr="00B30746">
        <w:rPr>
          <w:lang w:val="en-US"/>
        </w:rPr>
        <w:t>1</w:t>
      </w:r>
      <w:r w:rsidR="00B30746" w:rsidRPr="00B30746">
        <w:t>4</w:t>
      </w:r>
      <w:r w:rsidRPr="00B30746">
        <w:t>.</w:t>
      </w:r>
      <w:r w:rsidR="00651E8C" w:rsidRPr="00B30746">
        <w:rPr>
          <w:lang w:val="en-US"/>
        </w:rPr>
        <w:t>0</w:t>
      </w:r>
      <w:r w:rsidR="00B30746" w:rsidRPr="00B30746">
        <w:t>6</w:t>
      </w:r>
      <w:r w:rsidR="00651E8C" w:rsidRPr="00B30746">
        <w:t>.202</w:t>
      </w:r>
      <w:r w:rsidR="00651E8C" w:rsidRPr="00B30746">
        <w:rPr>
          <w:lang w:val="en-US"/>
        </w:rPr>
        <w:t>1</w:t>
      </w:r>
      <w:r w:rsidRPr="00B30746">
        <w:rPr>
          <w:color w:val="FF0000"/>
        </w:rPr>
        <w:t xml:space="preserve"> </w:t>
      </w:r>
      <w:r w:rsidRPr="00B30746">
        <w:rPr>
          <w:lang w:val="en-US"/>
        </w:rPr>
        <w:t>No.</w:t>
      </w:r>
      <w:r w:rsidRPr="00B30746">
        <w:rPr>
          <w:color w:val="000000"/>
        </w:rPr>
        <w:t xml:space="preserve"> </w:t>
      </w:r>
      <w:r w:rsidR="00F65E50" w:rsidRPr="00B30746">
        <w:rPr>
          <w:color w:val="000000"/>
        </w:rPr>
        <w:t>12/01-</w:t>
      </w:r>
      <w:r w:rsidR="00B30746" w:rsidRPr="00B30746">
        <w:rPr>
          <w:color w:val="000000"/>
        </w:rPr>
        <w:t>106</w:t>
      </w:r>
      <w:bookmarkStart w:id="1" w:name="_GoBack"/>
      <w:bookmarkEnd w:id="1"/>
      <w:r w:rsidRPr="00B30746">
        <w:rPr>
          <w:color w:val="000000"/>
        </w:rPr>
        <w:t>-РП.</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9B66C3">
        <w:rPr>
          <w:lang w:val="en-US"/>
        </w:rPr>
        <w:t>UA-AR-P-2021-02</w:t>
      </w:r>
      <w:r w:rsidR="006F0DC9">
        <w:rPr>
          <w:lang w:val="en-US"/>
        </w:rPr>
        <w:t>-</w:t>
      </w:r>
      <w:r w:rsidR="009B66C3">
        <w:rPr>
          <w:lang w:val="en-US"/>
        </w:rPr>
        <w:t>12</w:t>
      </w:r>
      <w:r w:rsidR="00F10B82">
        <w:rPr>
          <w:lang w:val="en-US"/>
        </w:rPr>
        <w:t>-0000</w:t>
      </w:r>
      <w:r w:rsidR="00F10B82" w:rsidRPr="007B57EF">
        <w:rPr>
          <w:lang w:val="en-US"/>
        </w:rPr>
        <w:t>0</w:t>
      </w:r>
      <w:r w:rsidR="009B66C3">
        <w:rPr>
          <w:lang w:val="en-US"/>
        </w:rPr>
        <w:t>5</w:t>
      </w:r>
      <w:r w:rsidR="006F0DC9">
        <w:rPr>
          <w:lang w:val="en-US"/>
        </w:rPr>
        <w:t>-3</w:t>
      </w:r>
      <w:r w:rsidR="00F10B82">
        <w:t>.</w:t>
      </w:r>
    </w:p>
    <w:p w:rsidR="002F47EE" w:rsidRPr="00851BA0" w:rsidRDefault="00874F26" w:rsidP="00874F26">
      <w:pPr>
        <w:pStyle w:val="a6"/>
        <w:tabs>
          <w:tab w:val="left" w:pos="567"/>
          <w:tab w:val="left" w:pos="993"/>
        </w:tabs>
        <w:ind w:right="-29"/>
        <w:jc w:val="both"/>
        <w:rPr>
          <w:b/>
          <w:bCs/>
          <w:lang w:val="en-US"/>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74F26">
      <w:pPr>
        <w:pStyle w:val="a6"/>
        <w:tabs>
          <w:tab w:val="left" w:pos="567"/>
          <w:tab w:val="left" w:pos="993"/>
        </w:tabs>
        <w:ind w:right="-29"/>
        <w:jc w:val="both"/>
        <w:rPr>
          <w:bCs/>
          <w:lang w:val="en-US"/>
        </w:rPr>
      </w:pPr>
      <w:r w:rsidRPr="002F47EE">
        <w:rPr>
          <w:bCs/>
          <w:lang w:val="en-US"/>
        </w:rPr>
        <w:t xml:space="preserve"> </w:t>
      </w:r>
      <w:r w:rsidR="002F47EE" w:rsidRPr="002F47EE">
        <w:rPr>
          <w:bCs/>
          <w:lang w:val="en-US"/>
        </w:rPr>
        <w:t xml:space="preserve">- an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FC368D">
        <w:rPr>
          <w:lang w:val="en-US"/>
        </w:rPr>
        <w:t>30</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74F26">
      <w:pPr>
        <w:pStyle w:val="a6"/>
        <w:tabs>
          <w:tab w:val="left" w:pos="567"/>
          <w:tab w:val="left" w:pos="993"/>
        </w:tabs>
        <w:ind w:right="-29"/>
        <w:jc w:val="both"/>
        <w:rPr>
          <w:lang w:val="en-US"/>
        </w:rPr>
      </w:pPr>
      <w:r>
        <w:rPr>
          <w:bCs/>
          <w:lang w:val="en-US"/>
        </w:rPr>
        <w:t xml:space="preserve"> - </w:t>
      </w:r>
      <w:r w:rsidR="00874F26" w:rsidRPr="002F47EE">
        <w:rPr>
          <w:bCs/>
          <w:lang w:val="en-US"/>
        </w:rPr>
        <w:t xml:space="preserve"> </w:t>
      </w:r>
      <w:r>
        <w:rPr>
          <w:bCs/>
          <w:lang w:val="en-US"/>
        </w:rPr>
        <w:t>an</w:t>
      </w:r>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w:t>
      </w:r>
      <w:r w:rsidR="00FC368D">
        <w:rPr>
          <w:lang w:val="en-US"/>
        </w:rPr>
        <w:t>30</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DF5AEC">
      <w:pPr>
        <w:pStyle w:val="a6"/>
        <w:tabs>
          <w:tab w:val="left" w:pos="567"/>
        </w:tabs>
        <w:ind w:right="28"/>
        <w:jc w:val="both"/>
      </w:pPr>
      <w:r>
        <w:rPr>
          <w:lang w:val="en-US"/>
        </w:rPr>
        <w:t>-</w:t>
      </w:r>
      <w:r w:rsidR="003A713F" w:rsidRPr="00604BA5">
        <w:rPr>
          <w:lang w:val="en-US"/>
        </w:rPr>
        <w:t xml:space="preserve"> an auction with conditions – UAH</w:t>
      </w:r>
      <w:r w:rsidR="003A713F">
        <w:t xml:space="preserve"> </w:t>
      </w:r>
      <w:r w:rsidR="00A37CAB">
        <w:rPr>
          <w:lang w:val="en-US"/>
        </w:rPr>
        <w:t>756,128</w:t>
      </w:r>
      <w:r w:rsidR="003A713F">
        <w:rPr>
          <w:lang w:val="en-US"/>
        </w:rPr>
        <w:t>.</w:t>
      </w:r>
      <w:r w:rsidR="00A37CAB">
        <w:rPr>
          <w:lang w:val="en-US"/>
        </w:rPr>
        <w:t>43</w:t>
      </w:r>
      <w:r w:rsidR="00DF5AEC" w:rsidRPr="000741EA">
        <w:t>;</w:t>
      </w:r>
    </w:p>
    <w:p w:rsidR="00DF5AEC" w:rsidRPr="000741EA" w:rsidRDefault="00E43B9B" w:rsidP="00DF5AEC">
      <w:pPr>
        <w:pStyle w:val="a6"/>
        <w:tabs>
          <w:tab w:val="left" w:pos="567"/>
        </w:tabs>
        <w:ind w:right="28"/>
        <w:jc w:val="both"/>
      </w:pPr>
      <w:r>
        <w:rPr>
          <w:lang w:val="en-US"/>
        </w:rPr>
        <w:t>-</w:t>
      </w:r>
      <w:r w:rsidR="00A41807" w:rsidRPr="00604BA5">
        <w:rPr>
          <w:lang w:val="en-US"/>
        </w:rPr>
        <w:t xml:space="preserve"> an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A37CAB">
        <w:rPr>
          <w:lang w:val="en-US"/>
        </w:rPr>
        <w:t>378,064</w:t>
      </w:r>
      <w:r w:rsidR="00A41807">
        <w:rPr>
          <w:lang w:val="en-US"/>
        </w:rPr>
        <w:t>.</w:t>
      </w:r>
      <w:r w:rsidR="00A37CAB">
        <w:rPr>
          <w:lang w:val="en-US"/>
        </w:rPr>
        <w:t>22</w:t>
      </w:r>
      <w:r w:rsidR="00DF5AEC" w:rsidRPr="000741EA">
        <w:t>;</w:t>
      </w:r>
    </w:p>
    <w:p w:rsidR="00DF5AEC" w:rsidRDefault="002E0950" w:rsidP="00DF5AEC">
      <w:pPr>
        <w:pStyle w:val="a6"/>
        <w:tabs>
          <w:tab w:val="left" w:pos="567"/>
        </w:tabs>
        <w:ind w:right="28"/>
        <w:jc w:val="both"/>
        <w:rPr>
          <w:lang w:val="en-US"/>
        </w:rPr>
      </w:pPr>
      <w:r>
        <w:rPr>
          <w:bCs/>
          <w:color w:val="000000"/>
          <w:lang w:val="en-US"/>
        </w:rPr>
        <w:t>-</w:t>
      </w:r>
      <w:r w:rsidR="00A41807" w:rsidRPr="00604BA5">
        <w:rPr>
          <w:bCs/>
          <w:color w:val="000000"/>
          <w:lang w:val="en-US"/>
        </w:rPr>
        <w:t xml:space="preserve"> an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A37CAB">
        <w:rPr>
          <w:lang w:val="en-US"/>
        </w:rPr>
        <w:t>378,064.22</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6" w:history="1">
        <w:r w:rsidR="000D5178">
          <w:rPr>
            <w:rStyle w:val="a4"/>
            <w:sz w:val="23"/>
            <w:szCs w:val="23"/>
          </w:rPr>
          <w:t>https://prozorro.sale/info/elektronni-majdanchiki-ets-prozorroprodazhi-cbd2</w:t>
        </w:r>
      </w:hyperlink>
      <w:r w:rsidR="000D5178">
        <w:rPr>
          <w:rFonts w:ascii="Calibri" w:hAnsi="Calibri" w:cs="Calibri"/>
          <w:color w:val="0563C1"/>
          <w:sz w:val="23"/>
          <w:szCs w:val="23"/>
          <w:u w:val="single"/>
        </w:rPr>
        <w:t xml:space="preserve"> </w:t>
      </w:r>
      <w:r w:rsidR="000D5178">
        <w:t>.</w:t>
      </w:r>
    </w:p>
    <w:sectPr w:rsidR="00DF5AEC" w:rsidRPr="00EA632D" w:rsidSect="00AB5FBA">
      <w:pgSz w:w="11907" w:h="16840" w:code="9"/>
      <w:pgMar w:top="709" w:right="748"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66410"/>
    <w:rsid w:val="00001AF6"/>
    <w:rsid w:val="00002BD1"/>
    <w:rsid w:val="00007387"/>
    <w:rsid w:val="00007FAC"/>
    <w:rsid w:val="0001161A"/>
    <w:rsid w:val="00012BC2"/>
    <w:rsid w:val="00016662"/>
    <w:rsid w:val="0001674D"/>
    <w:rsid w:val="0002162D"/>
    <w:rsid w:val="000228AB"/>
    <w:rsid w:val="0002447C"/>
    <w:rsid w:val="000268D0"/>
    <w:rsid w:val="00031B4E"/>
    <w:rsid w:val="00033AAE"/>
    <w:rsid w:val="00034AB7"/>
    <w:rsid w:val="000403C7"/>
    <w:rsid w:val="00044804"/>
    <w:rsid w:val="0004735D"/>
    <w:rsid w:val="0006158C"/>
    <w:rsid w:val="00063E6C"/>
    <w:rsid w:val="000641AD"/>
    <w:rsid w:val="00072550"/>
    <w:rsid w:val="00072A15"/>
    <w:rsid w:val="000733F7"/>
    <w:rsid w:val="00073E9B"/>
    <w:rsid w:val="0007568A"/>
    <w:rsid w:val="00075F3C"/>
    <w:rsid w:val="00076E48"/>
    <w:rsid w:val="000774A1"/>
    <w:rsid w:val="00082EC8"/>
    <w:rsid w:val="00084344"/>
    <w:rsid w:val="00084ED1"/>
    <w:rsid w:val="000858AC"/>
    <w:rsid w:val="0009202A"/>
    <w:rsid w:val="00095ED1"/>
    <w:rsid w:val="000A1A64"/>
    <w:rsid w:val="000A3C29"/>
    <w:rsid w:val="000A53B8"/>
    <w:rsid w:val="000A5402"/>
    <w:rsid w:val="000B1A3D"/>
    <w:rsid w:val="000B26CE"/>
    <w:rsid w:val="000B6285"/>
    <w:rsid w:val="000C24D3"/>
    <w:rsid w:val="000C2C30"/>
    <w:rsid w:val="000C365F"/>
    <w:rsid w:val="000C5A41"/>
    <w:rsid w:val="000C6ACE"/>
    <w:rsid w:val="000D3713"/>
    <w:rsid w:val="000D5178"/>
    <w:rsid w:val="000E2769"/>
    <w:rsid w:val="000E29F1"/>
    <w:rsid w:val="000F2052"/>
    <w:rsid w:val="000F23DB"/>
    <w:rsid w:val="000F640E"/>
    <w:rsid w:val="000F69F6"/>
    <w:rsid w:val="00101BCD"/>
    <w:rsid w:val="00101CD7"/>
    <w:rsid w:val="001053DB"/>
    <w:rsid w:val="00105D3A"/>
    <w:rsid w:val="001118F9"/>
    <w:rsid w:val="00113616"/>
    <w:rsid w:val="001213DF"/>
    <w:rsid w:val="0012387F"/>
    <w:rsid w:val="00130CC8"/>
    <w:rsid w:val="001341E2"/>
    <w:rsid w:val="001357B8"/>
    <w:rsid w:val="001402FA"/>
    <w:rsid w:val="001473F1"/>
    <w:rsid w:val="001502E1"/>
    <w:rsid w:val="001509F4"/>
    <w:rsid w:val="001545CD"/>
    <w:rsid w:val="00156A08"/>
    <w:rsid w:val="00161485"/>
    <w:rsid w:val="00163B5C"/>
    <w:rsid w:val="00165926"/>
    <w:rsid w:val="001674F3"/>
    <w:rsid w:val="00170BBD"/>
    <w:rsid w:val="00171979"/>
    <w:rsid w:val="00172C5F"/>
    <w:rsid w:val="00175DF4"/>
    <w:rsid w:val="001765A3"/>
    <w:rsid w:val="00180D7B"/>
    <w:rsid w:val="00194B8A"/>
    <w:rsid w:val="00194C64"/>
    <w:rsid w:val="00194DF0"/>
    <w:rsid w:val="00197FC5"/>
    <w:rsid w:val="001A10F8"/>
    <w:rsid w:val="001A15B2"/>
    <w:rsid w:val="001A3E59"/>
    <w:rsid w:val="001B2EBA"/>
    <w:rsid w:val="001C39FA"/>
    <w:rsid w:val="001C4A86"/>
    <w:rsid w:val="001D018A"/>
    <w:rsid w:val="001D4CCA"/>
    <w:rsid w:val="001D51F3"/>
    <w:rsid w:val="001E31F4"/>
    <w:rsid w:val="001E6AEE"/>
    <w:rsid w:val="001E77D6"/>
    <w:rsid w:val="001F55B2"/>
    <w:rsid w:val="001F5A4F"/>
    <w:rsid w:val="001F7573"/>
    <w:rsid w:val="00202D85"/>
    <w:rsid w:val="00204783"/>
    <w:rsid w:val="0020542B"/>
    <w:rsid w:val="0021445C"/>
    <w:rsid w:val="002179A5"/>
    <w:rsid w:val="00226149"/>
    <w:rsid w:val="00236CC3"/>
    <w:rsid w:val="00237C00"/>
    <w:rsid w:val="00242BF0"/>
    <w:rsid w:val="00244104"/>
    <w:rsid w:val="00253925"/>
    <w:rsid w:val="0025445D"/>
    <w:rsid w:val="0025573D"/>
    <w:rsid w:val="00257D7C"/>
    <w:rsid w:val="00262A7B"/>
    <w:rsid w:val="002644C2"/>
    <w:rsid w:val="00264581"/>
    <w:rsid w:val="00264B80"/>
    <w:rsid w:val="00264C15"/>
    <w:rsid w:val="002650DE"/>
    <w:rsid w:val="00270A2C"/>
    <w:rsid w:val="002721DB"/>
    <w:rsid w:val="00273EB0"/>
    <w:rsid w:val="00276A27"/>
    <w:rsid w:val="00276BDA"/>
    <w:rsid w:val="00282A56"/>
    <w:rsid w:val="002877D7"/>
    <w:rsid w:val="002917AB"/>
    <w:rsid w:val="002925C3"/>
    <w:rsid w:val="0029336D"/>
    <w:rsid w:val="00293C5D"/>
    <w:rsid w:val="0029580C"/>
    <w:rsid w:val="002979A5"/>
    <w:rsid w:val="00297D18"/>
    <w:rsid w:val="002A71F8"/>
    <w:rsid w:val="002B05AF"/>
    <w:rsid w:val="002B1049"/>
    <w:rsid w:val="002B6526"/>
    <w:rsid w:val="002B799C"/>
    <w:rsid w:val="002C5887"/>
    <w:rsid w:val="002D13C5"/>
    <w:rsid w:val="002D4F1D"/>
    <w:rsid w:val="002D77E7"/>
    <w:rsid w:val="002E0950"/>
    <w:rsid w:val="002E2A80"/>
    <w:rsid w:val="002E3FC5"/>
    <w:rsid w:val="002E4867"/>
    <w:rsid w:val="002E6CFB"/>
    <w:rsid w:val="002F034C"/>
    <w:rsid w:val="002F2368"/>
    <w:rsid w:val="002F42F1"/>
    <w:rsid w:val="002F47EE"/>
    <w:rsid w:val="002F4923"/>
    <w:rsid w:val="002F5524"/>
    <w:rsid w:val="00301F1A"/>
    <w:rsid w:val="00304477"/>
    <w:rsid w:val="00311F67"/>
    <w:rsid w:val="00320B50"/>
    <w:rsid w:val="00322035"/>
    <w:rsid w:val="00323E57"/>
    <w:rsid w:val="00324050"/>
    <w:rsid w:val="00331C21"/>
    <w:rsid w:val="0033514F"/>
    <w:rsid w:val="0033633E"/>
    <w:rsid w:val="0034024E"/>
    <w:rsid w:val="00340C37"/>
    <w:rsid w:val="00341451"/>
    <w:rsid w:val="00342562"/>
    <w:rsid w:val="00344AF8"/>
    <w:rsid w:val="00346CBE"/>
    <w:rsid w:val="00357C95"/>
    <w:rsid w:val="00357F80"/>
    <w:rsid w:val="00360D0B"/>
    <w:rsid w:val="003627BF"/>
    <w:rsid w:val="0036467B"/>
    <w:rsid w:val="00380934"/>
    <w:rsid w:val="00380AB6"/>
    <w:rsid w:val="003810DB"/>
    <w:rsid w:val="00385917"/>
    <w:rsid w:val="00387338"/>
    <w:rsid w:val="00387E31"/>
    <w:rsid w:val="00392B94"/>
    <w:rsid w:val="003964AF"/>
    <w:rsid w:val="00397560"/>
    <w:rsid w:val="003A0F8B"/>
    <w:rsid w:val="003A323F"/>
    <w:rsid w:val="003A713F"/>
    <w:rsid w:val="003A7158"/>
    <w:rsid w:val="003B32F1"/>
    <w:rsid w:val="003B33E3"/>
    <w:rsid w:val="003B3C83"/>
    <w:rsid w:val="003B4573"/>
    <w:rsid w:val="003B5E7C"/>
    <w:rsid w:val="003B6459"/>
    <w:rsid w:val="003B77C3"/>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26B1"/>
    <w:rsid w:val="003F27D6"/>
    <w:rsid w:val="003F3510"/>
    <w:rsid w:val="003F442F"/>
    <w:rsid w:val="003F4917"/>
    <w:rsid w:val="003F5327"/>
    <w:rsid w:val="003F5503"/>
    <w:rsid w:val="003F62B5"/>
    <w:rsid w:val="00400FB1"/>
    <w:rsid w:val="00401112"/>
    <w:rsid w:val="0040752B"/>
    <w:rsid w:val="00410A69"/>
    <w:rsid w:val="00413067"/>
    <w:rsid w:val="004153A1"/>
    <w:rsid w:val="00423264"/>
    <w:rsid w:val="00423C9F"/>
    <w:rsid w:val="00425B72"/>
    <w:rsid w:val="00431FCD"/>
    <w:rsid w:val="004332BE"/>
    <w:rsid w:val="004356B9"/>
    <w:rsid w:val="004370E5"/>
    <w:rsid w:val="00443109"/>
    <w:rsid w:val="0044420E"/>
    <w:rsid w:val="0044650B"/>
    <w:rsid w:val="00446BA0"/>
    <w:rsid w:val="00446F52"/>
    <w:rsid w:val="004552C9"/>
    <w:rsid w:val="00455638"/>
    <w:rsid w:val="0045687C"/>
    <w:rsid w:val="004579C7"/>
    <w:rsid w:val="00464812"/>
    <w:rsid w:val="00467104"/>
    <w:rsid w:val="00467918"/>
    <w:rsid w:val="00472385"/>
    <w:rsid w:val="004754EC"/>
    <w:rsid w:val="004756C3"/>
    <w:rsid w:val="00477EE8"/>
    <w:rsid w:val="004836FF"/>
    <w:rsid w:val="004843C6"/>
    <w:rsid w:val="004850D8"/>
    <w:rsid w:val="00486705"/>
    <w:rsid w:val="004877D6"/>
    <w:rsid w:val="00491A43"/>
    <w:rsid w:val="004931C8"/>
    <w:rsid w:val="00495F75"/>
    <w:rsid w:val="004A33E3"/>
    <w:rsid w:val="004A45EC"/>
    <w:rsid w:val="004A462A"/>
    <w:rsid w:val="004A5C8F"/>
    <w:rsid w:val="004B1D4F"/>
    <w:rsid w:val="004B7F8B"/>
    <w:rsid w:val="004C5291"/>
    <w:rsid w:val="004C6EE9"/>
    <w:rsid w:val="004D065F"/>
    <w:rsid w:val="004D4A62"/>
    <w:rsid w:val="004D6F7B"/>
    <w:rsid w:val="004E03E7"/>
    <w:rsid w:val="004E2344"/>
    <w:rsid w:val="004E4E74"/>
    <w:rsid w:val="004E6719"/>
    <w:rsid w:val="004F0BE4"/>
    <w:rsid w:val="004F2BD8"/>
    <w:rsid w:val="00501160"/>
    <w:rsid w:val="005022DF"/>
    <w:rsid w:val="0050345B"/>
    <w:rsid w:val="005106E7"/>
    <w:rsid w:val="005110CC"/>
    <w:rsid w:val="0051115B"/>
    <w:rsid w:val="00511D15"/>
    <w:rsid w:val="00517CD1"/>
    <w:rsid w:val="0052090A"/>
    <w:rsid w:val="0052362E"/>
    <w:rsid w:val="005253B2"/>
    <w:rsid w:val="005264B5"/>
    <w:rsid w:val="005322FB"/>
    <w:rsid w:val="00534801"/>
    <w:rsid w:val="005417E0"/>
    <w:rsid w:val="0055633E"/>
    <w:rsid w:val="0056313E"/>
    <w:rsid w:val="005634F0"/>
    <w:rsid w:val="0056408A"/>
    <w:rsid w:val="00564674"/>
    <w:rsid w:val="00564A7C"/>
    <w:rsid w:val="00570507"/>
    <w:rsid w:val="0057080D"/>
    <w:rsid w:val="00570BDC"/>
    <w:rsid w:val="005712B3"/>
    <w:rsid w:val="005726AA"/>
    <w:rsid w:val="00573362"/>
    <w:rsid w:val="00573D2D"/>
    <w:rsid w:val="0057600B"/>
    <w:rsid w:val="00580631"/>
    <w:rsid w:val="00585E6A"/>
    <w:rsid w:val="0058796D"/>
    <w:rsid w:val="00587C25"/>
    <w:rsid w:val="0059088E"/>
    <w:rsid w:val="00590E13"/>
    <w:rsid w:val="005961F5"/>
    <w:rsid w:val="005A1814"/>
    <w:rsid w:val="005A49F8"/>
    <w:rsid w:val="005A613F"/>
    <w:rsid w:val="005A6323"/>
    <w:rsid w:val="005B4260"/>
    <w:rsid w:val="005C1B29"/>
    <w:rsid w:val="005C1C63"/>
    <w:rsid w:val="005C5798"/>
    <w:rsid w:val="005D3ABB"/>
    <w:rsid w:val="005D4108"/>
    <w:rsid w:val="005D4E16"/>
    <w:rsid w:val="005D5692"/>
    <w:rsid w:val="005D76D7"/>
    <w:rsid w:val="005E3419"/>
    <w:rsid w:val="005E35C4"/>
    <w:rsid w:val="005E4031"/>
    <w:rsid w:val="005E558E"/>
    <w:rsid w:val="005E70E3"/>
    <w:rsid w:val="005F4687"/>
    <w:rsid w:val="005F6E59"/>
    <w:rsid w:val="005F77EB"/>
    <w:rsid w:val="00604F67"/>
    <w:rsid w:val="00610495"/>
    <w:rsid w:val="00611640"/>
    <w:rsid w:val="00615FBD"/>
    <w:rsid w:val="00621B45"/>
    <w:rsid w:val="00625B79"/>
    <w:rsid w:val="00630CD7"/>
    <w:rsid w:val="00634850"/>
    <w:rsid w:val="00636F27"/>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6B99"/>
    <w:rsid w:val="006919A3"/>
    <w:rsid w:val="0069456A"/>
    <w:rsid w:val="00696821"/>
    <w:rsid w:val="006A634B"/>
    <w:rsid w:val="006A6E77"/>
    <w:rsid w:val="006B1AFA"/>
    <w:rsid w:val="006C2522"/>
    <w:rsid w:val="006C410E"/>
    <w:rsid w:val="006C414A"/>
    <w:rsid w:val="006C46C7"/>
    <w:rsid w:val="006C6A01"/>
    <w:rsid w:val="006D1527"/>
    <w:rsid w:val="006D16CF"/>
    <w:rsid w:val="006D6545"/>
    <w:rsid w:val="006E39A3"/>
    <w:rsid w:val="006E47D2"/>
    <w:rsid w:val="006E7004"/>
    <w:rsid w:val="006E73BF"/>
    <w:rsid w:val="006F0DC9"/>
    <w:rsid w:val="006F27AB"/>
    <w:rsid w:val="006F5975"/>
    <w:rsid w:val="006F697F"/>
    <w:rsid w:val="007030E0"/>
    <w:rsid w:val="00703169"/>
    <w:rsid w:val="007049A1"/>
    <w:rsid w:val="00705036"/>
    <w:rsid w:val="007065E4"/>
    <w:rsid w:val="0070676C"/>
    <w:rsid w:val="00711E8C"/>
    <w:rsid w:val="0071385B"/>
    <w:rsid w:val="00713FFC"/>
    <w:rsid w:val="00714CE8"/>
    <w:rsid w:val="00724753"/>
    <w:rsid w:val="00724C31"/>
    <w:rsid w:val="0073108A"/>
    <w:rsid w:val="00733076"/>
    <w:rsid w:val="007330D1"/>
    <w:rsid w:val="00733EFD"/>
    <w:rsid w:val="00734472"/>
    <w:rsid w:val="007421F0"/>
    <w:rsid w:val="00746C2B"/>
    <w:rsid w:val="007505A8"/>
    <w:rsid w:val="00751BA5"/>
    <w:rsid w:val="00752919"/>
    <w:rsid w:val="0075438A"/>
    <w:rsid w:val="00754423"/>
    <w:rsid w:val="007620E3"/>
    <w:rsid w:val="0077131F"/>
    <w:rsid w:val="00772C2E"/>
    <w:rsid w:val="007747B3"/>
    <w:rsid w:val="007920F2"/>
    <w:rsid w:val="007931C9"/>
    <w:rsid w:val="00795BB5"/>
    <w:rsid w:val="007A36E0"/>
    <w:rsid w:val="007A3F63"/>
    <w:rsid w:val="007A64BF"/>
    <w:rsid w:val="007A70E5"/>
    <w:rsid w:val="007B39A6"/>
    <w:rsid w:val="007B6A80"/>
    <w:rsid w:val="007C03BE"/>
    <w:rsid w:val="007C3CFF"/>
    <w:rsid w:val="007C538B"/>
    <w:rsid w:val="007C73DD"/>
    <w:rsid w:val="007D1073"/>
    <w:rsid w:val="007D1E88"/>
    <w:rsid w:val="007D44EC"/>
    <w:rsid w:val="007D69DF"/>
    <w:rsid w:val="007E138B"/>
    <w:rsid w:val="007E14E0"/>
    <w:rsid w:val="007E2FBF"/>
    <w:rsid w:val="007F0EBB"/>
    <w:rsid w:val="007F1099"/>
    <w:rsid w:val="007F1B83"/>
    <w:rsid w:val="007F41AA"/>
    <w:rsid w:val="007F792B"/>
    <w:rsid w:val="007F7F78"/>
    <w:rsid w:val="007F7FD1"/>
    <w:rsid w:val="00814528"/>
    <w:rsid w:val="00814666"/>
    <w:rsid w:val="00815FFC"/>
    <w:rsid w:val="00816102"/>
    <w:rsid w:val="00816919"/>
    <w:rsid w:val="00816FCE"/>
    <w:rsid w:val="00820CAA"/>
    <w:rsid w:val="00821587"/>
    <w:rsid w:val="008265CC"/>
    <w:rsid w:val="008276B9"/>
    <w:rsid w:val="0083663F"/>
    <w:rsid w:val="00840367"/>
    <w:rsid w:val="008411A9"/>
    <w:rsid w:val="0084478F"/>
    <w:rsid w:val="00844B54"/>
    <w:rsid w:val="0085144D"/>
    <w:rsid w:val="0085171E"/>
    <w:rsid w:val="00851BA0"/>
    <w:rsid w:val="0085665F"/>
    <w:rsid w:val="008656F7"/>
    <w:rsid w:val="00874F26"/>
    <w:rsid w:val="008757E4"/>
    <w:rsid w:val="00876B93"/>
    <w:rsid w:val="008779FE"/>
    <w:rsid w:val="00877D67"/>
    <w:rsid w:val="0088067C"/>
    <w:rsid w:val="00880740"/>
    <w:rsid w:val="008853CC"/>
    <w:rsid w:val="008A1E3C"/>
    <w:rsid w:val="008A262A"/>
    <w:rsid w:val="008A3119"/>
    <w:rsid w:val="008A42C7"/>
    <w:rsid w:val="008A68D6"/>
    <w:rsid w:val="008A6AA3"/>
    <w:rsid w:val="008A7455"/>
    <w:rsid w:val="008B2C3D"/>
    <w:rsid w:val="008B57FC"/>
    <w:rsid w:val="008C4148"/>
    <w:rsid w:val="008C5ABE"/>
    <w:rsid w:val="008C6004"/>
    <w:rsid w:val="008D09AA"/>
    <w:rsid w:val="008D5016"/>
    <w:rsid w:val="008D5A82"/>
    <w:rsid w:val="008E2620"/>
    <w:rsid w:val="008E681C"/>
    <w:rsid w:val="008F1942"/>
    <w:rsid w:val="008F2F31"/>
    <w:rsid w:val="008F34E9"/>
    <w:rsid w:val="0090196B"/>
    <w:rsid w:val="00901ED9"/>
    <w:rsid w:val="00903281"/>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53A6B"/>
    <w:rsid w:val="009544B9"/>
    <w:rsid w:val="00955AD6"/>
    <w:rsid w:val="00956BD8"/>
    <w:rsid w:val="00956F9C"/>
    <w:rsid w:val="00960E2F"/>
    <w:rsid w:val="00963C8E"/>
    <w:rsid w:val="00973AA9"/>
    <w:rsid w:val="009747BC"/>
    <w:rsid w:val="0097648F"/>
    <w:rsid w:val="00976566"/>
    <w:rsid w:val="009773CA"/>
    <w:rsid w:val="009825D2"/>
    <w:rsid w:val="00984D3C"/>
    <w:rsid w:val="00985C7F"/>
    <w:rsid w:val="0098712C"/>
    <w:rsid w:val="0098722D"/>
    <w:rsid w:val="00991B8F"/>
    <w:rsid w:val="009936DE"/>
    <w:rsid w:val="009942B5"/>
    <w:rsid w:val="00994C60"/>
    <w:rsid w:val="009960BE"/>
    <w:rsid w:val="00996A43"/>
    <w:rsid w:val="009A7E43"/>
    <w:rsid w:val="009B0F0F"/>
    <w:rsid w:val="009B1BCE"/>
    <w:rsid w:val="009B1EC8"/>
    <w:rsid w:val="009B663C"/>
    <w:rsid w:val="009B66C3"/>
    <w:rsid w:val="009C66C8"/>
    <w:rsid w:val="009C6883"/>
    <w:rsid w:val="009C75A3"/>
    <w:rsid w:val="009D03E6"/>
    <w:rsid w:val="009E05EE"/>
    <w:rsid w:val="009E3698"/>
    <w:rsid w:val="009F0270"/>
    <w:rsid w:val="009F0721"/>
    <w:rsid w:val="009F44F1"/>
    <w:rsid w:val="009F4DE5"/>
    <w:rsid w:val="00A01B64"/>
    <w:rsid w:val="00A03453"/>
    <w:rsid w:val="00A05706"/>
    <w:rsid w:val="00A06B8D"/>
    <w:rsid w:val="00A10586"/>
    <w:rsid w:val="00A16215"/>
    <w:rsid w:val="00A301AB"/>
    <w:rsid w:val="00A31197"/>
    <w:rsid w:val="00A319F8"/>
    <w:rsid w:val="00A32C61"/>
    <w:rsid w:val="00A32D02"/>
    <w:rsid w:val="00A347F1"/>
    <w:rsid w:val="00A35C5A"/>
    <w:rsid w:val="00A369E0"/>
    <w:rsid w:val="00A37CAB"/>
    <w:rsid w:val="00A405A8"/>
    <w:rsid w:val="00A41807"/>
    <w:rsid w:val="00A51705"/>
    <w:rsid w:val="00A55E2E"/>
    <w:rsid w:val="00A569E0"/>
    <w:rsid w:val="00A66410"/>
    <w:rsid w:val="00A66A28"/>
    <w:rsid w:val="00A70AAA"/>
    <w:rsid w:val="00A8077B"/>
    <w:rsid w:val="00A85617"/>
    <w:rsid w:val="00A85F07"/>
    <w:rsid w:val="00A873EB"/>
    <w:rsid w:val="00A92373"/>
    <w:rsid w:val="00A93BD3"/>
    <w:rsid w:val="00A93E4B"/>
    <w:rsid w:val="00A94546"/>
    <w:rsid w:val="00A950CC"/>
    <w:rsid w:val="00AA4410"/>
    <w:rsid w:val="00AA60AF"/>
    <w:rsid w:val="00AA62A1"/>
    <w:rsid w:val="00AB0EC6"/>
    <w:rsid w:val="00AB2100"/>
    <w:rsid w:val="00AB32BA"/>
    <w:rsid w:val="00AB4B0D"/>
    <w:rsid w:val="00AB5FBA"/>
    <w:rsid w:val="00AC30A1"/>
    <w:rsid w:val="00AC53FE"/>
    <w:rsid w:val="00AD5751"/>
    <w:rsid w:val="00AE1723"/>
    <w:rsid w:val="00AE6E07"/>
    <w:rsid w:val="00AE6F1F"/>
    <w:rsid w:val="00AF50AC"/>
    <w:rsid w:val="00AF5117"/>
    <w:rsid w:val="00B00BBA"/>
    <w:rsid w:val="00B051A5"/>
    <w:rsid w:val="00B13D11"/>
    <w:rsid w:val="00B22295"/>
    <w:rsid w:val="00B279A4"/>
    <w:rsid w:val="00B30746"/>
    <w:rsid w:val="00B31B6D"/>
    <w:rsid w:val="00B36C9B"/>
    <w:rsid w:val="00B40F81"/>
    <w:rsid w:val="00B435AD"/>
    <w:rsid w:val="00B43B68"/>
    <w:rsid w:val="00B45EA0"/>
    <w:rsid w:val="00B46D3C"/>
    <w:rsid w:val="00B51574"/>
    <w:rsid w:val="00B54929"/>
    <w:rsid w:val="00B56D0C"/>
    <w:rsid w:val="00B644F2"/>
    <w:rsid w:val="00B64A0A"/>
    <w:rsid w:val="00B67B25"/>
    <w:rsid w:val="00B70180"/>
    <w:rsid w:val="00B70413"/>
    <w:rsid w:val="00B719C2"/>
    <w:rsid w:val="00B77F75"/>
    <w:rsid w:val="00BA2584"/>
    <w:rsid w:val="00BA694F"/>
    <w:rsid w:val="00BB27BD"/>
    <w:rsid w:val="00BB4520"/>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D7C00"/>
    <w:rsid w:val="00BE1AB6"/>
    <w:rsid w:val="00BE6149"/>
    <w:rsid w:val="00BF2185"/>
    <w:rsid w:val="00BF4EB4"/>
    <w:rsid w:val="00BF5CFC"/>
    <w:rsid w:val="00C03F0C"/>
    <w:rsid w:val="00C04241"/>
    <w:rsid w:val="00C047A7"/>
    <w:rsid w:val="00C07415"/>
    <w:rsid w:val="00C1075C"/>
    <w:rsid w:val="00C11798"/>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0269"/>
    <w:rsid w:val="00C51610"/>
    <w:rsid w:val="00C53300"/>
    <w:rsid w:val="00C53DB0"/>
    <w:rsid w:val="00C55299"/>
    <w:rsid w:val="00C55935"/>
    <w:rsid w:val="00C56AE5"/>
    <w:rsid w:val="00C56EC2"/>
    <w:rsid w:val="00C57963"/>
    <w:rsid w:val="00C62091"/>
    <w:rsid w:val="00C672CF"/>
    <w:rsid w:val="00C67356"/>
    <w:rsid w:val="00C701AA"/>
    <w:rsid w:val="00C73661"/>
    <w:rsid w:val="00C82133"/>
    <w:rsid w:val="00C914E0"/>
    <w:rsid w:val="00C9346E"/>
    <w:rsid w:val="00C93CE6"/>
    <w:rsid w:val="00C97F7E"/>
    <w:rsid w:val="00CA0503"/>
    <w:rsid w:val="00CB4448"/>
    <w:rsid w:val="00CB5408"/>
    <w:rsid w:val="00CB6359"/>
    <w:rsid w:val="00CC34F5"/>
    <w:rsid w:val="00CC4CFC"/>
    <w:rsid w:val="00CD1668"/>
    <w:rsid w:val="00CD1E42"/>
    <w:rsid w:val="00CD7B86"/>
    <w:rsid w:val="00CE003F"/>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1E41"/>
    <w:rsid w:val="00D54433"/>
    <w:rsid w:val="00D54FDA"/>
    <w:rsid w:val="00D57C0B"/>
    <w:rsid w:val="00D608D4"/>
    <w:rsid w:val="00D613BE"/>
    <w:rsid w:val="00D61E04"/>
    <w:rsid w:val="00D66107"/>
    <w:rsid w:val="00D66195"/>
    <w:rsid w:val="00D80E27"/>
    <w:rsid w:val="00D811D8"/>
    <w:rsid w:val="00D826CA"/>
    <w:rsid w:val="00D844B6"/>
    <w:rsid w:val="00D86498"/>
    <w:rsid w:val="00D87D37"/>
    <w:rsid w:val="00D93530"/>
    <w:rsid w:val="00D943B6"/>
    <w:rsid w:val="00D955C6"/>
    <w:rsid w:val="00DA4866"/>
    <w:rsid w:val="00DB1661"/>
    <w:rsid w:val="00DB2D36"/>
    <w:rsid w:val="00DB35C1"/>
    <w:rsid w:val="00DB65CE"/>
    <w:rsid w:val="00DC1CDD"/>
    <w:rsid w:val="00DC3B72"/>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28CC"/>
    <w:rsid w:val="00E0437E"/>
    <w:rsid w:val="00E058E9"/>
    <w:rsid w:val="00E05E40"/>
    <w:rsid w:val="00E06E05"/>
    <w:rsid w:val="00E07A00"/>
    <w:rsid w:val="00E101B0"/>
    <w:rsid w:val="00E12ECA"/>
    <w:rsid w:val="00E175ED"/>
    <w:rsid w:val="00E22939"/>
    <w:rsid w:val="00E26C35"/>
    <w:rsid w:val="00E27781"/>
    <w:rsid w:val="00E329F9"/>
    <w:rsid w:val="00E36292"/>
    <w:rsid w:val="00E40D6D"/>
    <w:rsid w:val="00E4211B"/>
    <w:rsid w:val="00E43B9B"/>
    <w:rsid w:val="00E45003"/>
    <w:rsid w:val="00E5737E"/>
    <w:rsid w:val="00E6037B"/>
    <w:rsid w:val="00E625E1"/>
    <w:rsid w:val="00E629AE"/>
    <w:rsid w:val="00E64299"/>
    <w:rsid w:val="00E64749"/>
    <w:rsid w:val="00E65921"/>
    <w:rsid w:val="00E716B4"/>
    <w:rsid w:val="00E72CFB"/>
    <w:rsid w:val="00E72F8B"/>
    <w:rsid w:val="00E73D06"/>
    <w:rsid w:val="00E74E2F"/>
    <w:rsid w:val="00E7650A"/>
    <w:rsid w:val="00E76EF0"/>
    <w:rsid w:val="00E77E8F"/>
    <w:rsid w:val="00E81BEB"/>
    <w:rsid w:val="00E91CE1"/>
    <w:rsid w:val="00E97B4F"/>
    <w:rsid w:val="00EA077C"/>
    <w:rsid w:val="00EA330E"/>
    <w:rsid w:val="00EA632D"/>
    <w:rsid w:val="00EA6759"/>
    <w:rsid w:val="00EB01E8"/>
    <w:rsid w:val="00EB0DA1"/>
    <w:rsid w:val="00EB218D"/>
    <w:rsid w:val="00EB24C9"/>
    <w:rsid w:val="00EB5A99"/>
    <w:rsid w:val="00EB6459"/>
    <w:rsid w:val="00EC0155"/>
    <w:rsid w:val="00EC0EC8"/>
    <w:rsid w:val="00EC5564"/>
    <w:rsid w:val="00EC6E95"/>
    <w:rsid w:val="00ED38A8"/>
    <w:rsid w:val="00ED3FDA"/>
    <w:rsid w:val="00ED779C"/>
    <w:rsid w:val="00EE1CE6"/>
    <w:rsid w:val="00EE23DD"/>
    <w:rsid w:val="00EE3421"/>
    <w:rsid w:val="00EE4364"/>
    <w:rsid w:val="00EE7AC3"/>
    <w:rsid w:val="00EF2F35"/>
    <w:rsid w:val="00EF46A2"/>
    <w:rsid w:val="00EF49BD"/>
    <w:rsid w:val="00F061B5"/>
    <w:rsid w:val="00F07D4C"/>
    <w:rsid w:val="00F10B82"/>
    <w:rsid w:val="00F12E7A"/>
    <w:rsid w:val="00F246E9"/>
    <w:rsid w:val="00F305A0"/>
    <w:rsid w:val="00F321A0"/>
    <w:rsid w:val="00F37D78"/>
    <w:rsid w:val="00F405E6"/>
    <w:rsid w:val="00F40762"/>
    <w:rsid w:val="00F43870"/>
    <w:rsid w:val="00F45E68"/>
    <w:rsid w:val="00F524F2"/>
    <w:rsid w:val="00F53278"/>
    <w:rsid w:val="00F53A1F"/>
    <w:rsid w:val="00F549C8"/>
    <w:rsid w:val="00F54C87"/>
    <w:rsid w:val="00F61DFF"/>
    <w:rsid w:val="00F64965"/>
    <w:rsid w:val="00F65E50"/>
    <w:rsid w:val="00F67B92"/>
    <w:rsid w:val="00F74F45"/>
    <w:rsid w:val="00F836E4"/>
    <w:rsid w:val="00F84718"/>
    <w:rsid w:val="00F84875"/>
    <w:rsid w:val="00F84B9D"/>
    <w:rsid w:val="00F8797F"/>
    <w:rsid w:val="00F92E03"/>
    <w:rsid w:val="00F934F0"/>
    <w:rsid w:val="00F948FF"/>
    <w:rsid w:val="00F94AB7"/>
    <w:rsid w:val="00FA2755"/>
    <w:rsid w:val="00FA2B28"/>
    <w:rsid w:val="00FA3E52"/>
    <w:rsid w:val="00FA49AC"/>
    <w:rsid w:val="00FA4FFC"/>
    <w:rsid w:val="00FA55AC"/>
    <w:rsid w:val="00FB0CF9"/>
    <w:rsid w:val="00FB1357"/>
    <w:rsid w:val="00FB19C9"/>
    <w:rsid w:val="00FB3718"/>
    <w:rsid w:val="00FB378D"/>
    <w:rsid w:val="00FC104C"/>
    <w:rsid w:val="00FC1636"/>
    <w:rsid w:val="00FC368D"/>
    <w:rsid w:val="00FC3797"/>
    <w:rsid w:val="00FC5546"/>
    <w:rsid w:val="00FC67E7"/>
    <w:rsid w:val="00FD02FE"/>
    <w:rsid w:val="00FD03CB"/>
    <w:rsid w:val="00FD0B18"/>
    <w:rsid w:val="00FD6A2E"/>
    <w:rsid w:val="00FE0C31"/>
    <w:rsid w:val="00FE1112"/>
    <w:rsid w:val="00FE4E8D"/>
    <w:rsid w:val="00FF01D4"/>
    <w:rsid w:val="00FF2044"/>
    <w:rsid w:val="00FF3DDE"/>
    <w:rsid w:val="00FF7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A2ABDC-B04A-48EC-920C-40F6810A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info/elektronni-majdanchiki-ets-prozorroprodazhi-cbd2" TargetMode="External"/><Relationship Id="rId5" Type="http://schemas.openxmlformats.org/officeDocument/2006/relationships/hyperlink" Target="mailto:reform_12@spfu.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13484</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User</cp:lastModifiedBy>
  <cp:revision>9</cp:revision>
  <cp:lastPrinted>2020-10-27T09:08:00Z</cp:lastPrinted>
  <dcterms:created xsi:type="dcterms:W3CDTF">2021-03-16T08:45:00Z</dcterms:created>
  <dcterms:modified xsi:type="dcterms:W3CDTF">2021-06-16T09:16:00Z</dcterms:modified>
</cp:coreProperties>
</file>