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100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будівля цеху деревної стружки загальною площею 228,4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Біле, вул. Центральна, 86-А.</w:t>
      </w:r>
      <w:r w:rsidRPr="00FE4980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1.10.2025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Pr="00B832F7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5</w:t>
      </w:r>
      <w:r w:rsidRPr="00B832F7">
        <w:rPr>
          <w:sz w:val="24"/>
          <w:szCs w:val="24"/>
        </w:rPr>
        <w:t>00,00 грн.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Найменування об’єкта оцінки № </w:t>
      </w:r>
      <w:r>
        <w:rPr>
          <w:sz w:val="24"/>
          <w:szCs w:val="24"/>
          <w:u w:val="single"/>
          <w:lang w:val="en-US"/>
        </w:rPr>
        <w:t>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цех переробки консервів загальною площею 781,6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склотари загальною площею 403,8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с.Висоцьк</w:t>
      </w:r>
      <w:proofErr w:type="spellEnd"/>
      <w:r>
        <w:rPr>
          <w:b/>
          <w:sz w:val="24"/>
          <w:szCs w:val="24"/>
        </w:rPr>
        <w:t>, вул. Містечкова, 31.</w:t>
      </w:r>
      <w:r w:rsidRPr="00FE4980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4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Pr="00B832F7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2</w:t>
      </w:r>
      <w:r w:rsidRPr="00B832F7">
        <w:rPr>
          <w:sz w:val="24"/>
          <w:szCs w:val="24"/>
        </w:rPr>
        <w:t>000,00 грн.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Найменування об’єкта оцінки № </w:t>
      </w:r>
      <w:r>
        <w:rPr>
          <w:sz w:val="24"/>
          <w:szCs w:val="24"/>
          <w:u w:val="single"/>
          <w:lang w:val="en-US"/>
        </w:rPr>
        <w:t>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будівля оздоровчого комплексу загальною площею 117,8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1/1; </w:t>
      </w:r>
      <w:r w:rsidRPr="00FE498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будівля складу готової продукції загальною площею 217,4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1/8; будівля навісу загальною площею 422,2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1/9; будівля консервного цеху загальною площею 715,6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lastRenderedPageBreak/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1/10; будівля складу готової продукції консервованого цеху загальною площею 495,9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1/12; будівля котельні загальною площею 448,5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1/13; будівля цеху ДСП загальною площею 1230,4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1/14; будівля цеху товарів народного споживання загальною площею 933,9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>, вул. Привокзальна, 1/15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8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Pr="00B832F7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8</w:t>
      </w:r>
      <w:r w:rsidRPr="00B832F7">
        <w:rPr>
          <w:sz w:val="24"/>
          <w:szCs w:val="24"/>
        </w:rPr>
        <w:t>000,00 грн.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Найменування об’єкта оцінки № </w:t>
      </w:r>
      <w:r>
        <w:rPr>
          <w:sz w:val="24"/>
          <w:szCs w:val="24"/>
          <w:u w:val="single"/>
          <w:lang w:val="en-US"/>
        </w:rPr>
        <w:t>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Pr="00B832F7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8</w:t>
      </w:r>
      <w:r w:rsidRPr="00B832F7">
        <w:rPr>
          <w:sz w:val="24"/>
          <w:szCs w:val="24"/>
        </w:rPr>
        <w:t>000,00 грн.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Найменування об’єкта оцінки № </w:t>
      </w:r>
      <w:r>
        <w:rPr>
          <w:sz w:val="24"/>
          <w:szCs w:val="24"/>
          <w:u w:val="single"/>
          <w:lang w:val="en-US"/>
        </w:rPr>
        <w:t>6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</w:t>
      </w:r>
      <w:r>
        <w:rPr>
          <w:b/>
          <w:sz w:val="24"/>
          <w:szCs w:val="24"/>
        </w:rPr>
        <w:t xml:space="preserve">незавершеного будівництва – квартальна котельня,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с.Степанівка</w:t>
      </w:r>
      <w:proofErr w:type="spellEnd"/>
      <w:r>
        <w:rPr>
          <w:b/>
          <w:sz w:val="24"/>
          <w:szCs w:val="24"/>
        </w:rPr>
        <w:t>, вул. Рад, 133/М.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відсутній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1.01.2026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15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7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лінія по виробництву блоків стін підвалів,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Житомирська обл., м. Житомир, вул. Фастівська, 11-а.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ПрАТ «Фірма «</w:t>
      </w:r>
      <w:proofErr w:type="spellStart"/>
      <w:r>
        <w:rPr>
          <w:sz w:val="24"/>
          <w:szCs w:val="24"/>
        </w:rPr>
        <w:t>Житомирінвест</w:t>
      </w:r>
      <w:proofErr w:type="spellEnd"/>
      <w:r>
        <w:rPr>
          <w:sz w:val="24"/>
          <w:szCs w:val="24"/>
        </w:rPr>
        <w:t>» (код за ЄДРПОУ 01272640)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 умовами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3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1.01.2026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lastRenderedPageBreak/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20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8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</w:t>
      </w:r>
      <w:r>
        <w:rPr>
          <w:b/>
          <w:sz w:val="24"/>
          <w:szCs w:val="24"/>
        </w:rPr>
        <w:t xml:space="preserve"> -</w:t>
      </w:r>
      <w:r w:rsidRPr="001D4ACF">
        <w:rPr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будівля контори лісоскладу з прибудовою, А, а, а1, а2, а3 загальною площею 140,7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котельні, Б, б, загальною площею 135,5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сушки, пульт управління сушками Г, Г1, загальною площею 127,0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цеху </w:t>
      </w:r>
      <w:proofErr w:type="spellStart"/>
      <w:r w:rsidRPr="001D4ACF">
        <w:rPr>
          <w:b/>
          <w:sz w:val="24"/>
          <w:szCs w:val="24"/>
        </w:rPr>
        <w:t>хвойно</w:t>
      </w:r>
      <w:proofErr w:type="spellEnd"/>
      <w:r w:rsidRPr="001D4ACF">
        <w:rPr>
          <w:b/>
          <w:sz w:val="24"/>
          <w:szCs w:val="24"/>
        </w:rPr>
        <w:t xml:space="preserve">-вітамінного борошна з прибудовою, Д, загальною площею 207,4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цеху переробки деревини, Е, загальною площею 1 261,2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складу готової продукції, З, загальною площею 725,6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м; будівля складу готової продукції, И, загальною площею 557,0 </w:t>
      </w:r>
      <w:proofErr w:type="spellStart"/>
      <w:r w:rsidRPr="001D4ACF">
        <w:rPr>
          <w:b/>
          <w:sz w:val="24"/>
          <w:szCs w:val="24"/>
        </w:rPr>
        <w:t>кв</w:t>
      </w:r>
      <w:proofErr w:type="spellEnd"/>
      <w:r w:rsidRPr="001D4ACF">
        <w:rPr>
          <w:b/>
          <w:sz w:val="24"/>
          <w:szCs w:val="24"/>
        </w:rPr>
        <w:t xml:space="preserve">. м, з обладнанням: верстат </w:t>
      </w:r>
      <w:proofErr w:type="spellStart"/>
      <w:r w:rsidRPr="001D4ACF">
        <w:rPr>
          <w:b/>
          <w:sz w:val="24"/>
          <w:szCs w:val="24"/>
        </w:rPr>
        <w:t>багатопильний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двохвальний</w:t>
      </w:r>
      <w:proofErr w:type="spellEnd"/>
      <w:r w:rsidRPr="001D4ACF">
        <w:rPr>
          <w:b/>
          <w:sz w:val="24"/>
          <w:szCs w:val="24"/>
        </w:rPr>
        <w:t xml:space="preserve"> WD-250/350 KBA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00048225); верстат </w:t>
      </w:r>
      <w:proofErr w:type="spellStart"/>
      <w:r w:rsidRPr="001D4ACF">
        <w:rPr>
          <w:b/>
          <w:sz w:val="24"/>
          <w:szCs w:val="24"/>
        </w:rPr>
        <w:t>брусувальний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Walter</w:t>
      </w:r>
      <w:proofErr w:type="spellEnd"/>
      <w:r w:rsidRPr="001D4ACF">
        <w:rPr>
          <w:b/>
          <w:sz w:val="24"/>
          <w:szCs w:val="24"/>
        </w:rPr>
        <w:t xml:space="preserve"> ТD-500KBA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00048226); верстат </w:t>
      </w:r>
      <w:proofErr w:type="spellStart"/>
      <w:r w:rsidRPr="001D4ACF">
        <w:rPr>
          <w:b/>
          <w:sz w:val="24"/>
          <w:szCs w:val="24"/>
        </w:rPr>
        <w:t>стрічкопильний</w:t>
      </w:r>
      <w:proofErr w:type="spellEnd"/>
      <w:r w:rsidRPr="001D4ACF">
        <w:rPr>
          <w:b/>
          <w:sz w:val="24"/>
          <w:szCs w:val="24"/>
        </w:rPr>
        <w:t xml:space="preserve"> «</w:t>
      </w:r>
      <w:proofErr w:type="spellStart"/>
      <w:r w:rsidRPr="001D4ACF">
        <w:rPr>
          <w:b/>
          <w:sz w:val="24"/>
          <w:szCs w:val="24"/>
        </w:rPr>
        <w:t>Номинал</w:t>
      </w:r>
      <w:proofErr w:type="spellEnd"/>
      <w:r w:rsidRPr="001D4ACF">
        <w:rPr>
          <w:b/>
          <w:sz w:val="24"/>
          <w:szCs w:val="24"/>
        </w:rPr>
        <w:t>-М»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№00048238); верстат </w:t>
      </w:r>
      <w:proofErr w:type="spellStart"/>
      <w:r w:rsidRPr="001D4ACF">
        <w:rPr>
          <w:b/>
          <w:sz w:val="24"/>
          <w:szCs w:val="24"/>
        </w:rPr>
        <w:t>стрічкопильний</w:t>
      </w:r>
      <w:proofErr w:type="spellEnd"/>
      <w:r w:rsidRPr="001D4ACF">
        <w:rPr>
          <w:b/>
          <w:sz w:val="24"/>
          <w:szCs w:val="24"/>
        </w:rPr>
        <w:t xml:space="preserve"> «</w:t>
      </w:r>
      <w:proofErr w:type="spellStart"/>
      <w:r w:rsidRPr="001D4ACF">
        <w:rPr>
          <w:b/>
          <w:sz w:val="24"/>
          <w:szCs w:val="24"/>
        </w:rPr>
        <w:t>Номинал</w:t>
      </w:r>
      <w:proofErr w:type="spellEnd"/>
      <w:r w:rsidRPr="001D4ACF">
        <w:rPr>
          <w:b/>
          <w:sz w:val="24"/>
          <w:szCs w:val="24"/>
        </w:rPr>
        <w:t>-М»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00048239); верстат </w:t>
      </w:r>
      <w:proofErr w:type="spellStart"/>
      <w:r w:rsidRPr="001D4ACF">
        <w:rPr>
          <w:b/>
          <w:sz w:val="24"/>
          <w:szCs w:val="24"/>
        </w:rPr>
        <w:t>багатопильний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двохвальний</w:t>
      </w:r>
      <w:proofErr w:type="spellEnd"/>
      <w:r w:rsidRPr="001D4ACF">
        <w:rPr>
          <w:b/>
          <w:sz w:val="24"/>
          <w:szCs w:val="24"/>
        </w:rPr>
        <w:t xml:space="preserve"> WD-300/350 KBA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№00048244); </w:t>
      </w:r>
      <w:proofErr w:type="spellStart"/>
      <w:r w:rsidRPr="001D4ACF">
        <w:rPr>
          <w:b/>
          <w:sz w:val="24"/>
          <w:szCs w:val="24"/>
        </w:rPr>
        <w:t>багатопильно-кромкообрізний</w:t>
      </w:r>
      <w:proofErr w:type="spellEnd"/>
      <w:r w:rsidRPr="001D4ACF">
        <w:rPr>
          <w:b/>
          <w:sz w:val="24"/>
          <w:szCs w:val="24"/>
        </w:rPr>
        <w:t xml:space="preserve"> верстат ЦМ-800-70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00048245);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верстат </w:t>
      </w:r>
      <w:proofErr w:type="spellStart"/>
      <w:r w:rsidRPr="001D4ACF">
        <w:rPr>
          <w:b/>
          <w:sz w:val="24"/>
          <w:szCs w:val="24"/>
        </w:rPr>
        <w:t>стрічкопильний</w:t>
      </w:r>
      <w:proofErr w:type="spellEnd"/>
      <w:r w:rsidRPr="001D4ACF">
        <w:rPr>
          <w:b/>
          <w:sz w:val="24"/>
          <w:szCs w:val="24"/>
        </w:rPr>
        <w:t xml:space="preserve"> СЛП-6,5 «</w:t>
      </w:r>
      <w:proofErr w:type="spellStart"/>
      <w:r w:rsidRPr="001D4ACF">
        <w:rPr>
          <w:b/>
          <w:sz w:val="24"/>
          <w:szCs w:val="24"/>
        </w:rPr>
        <w:t>Номинал</w:t>
      </w:r>
      <w:proofErr w:type="spellEnd"/>
      <w:r w:rsidRPr="001D4ACF">
        <w:rPr>
          <w:b/>
          <w:sz w:val="24"/>
          <w:szCs w:val="24"/>
        </w:rPr>
        <w:t>-М»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00048208); верстат для виготовлення вагонки С-16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00004810); верстат заточувальний 115А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00004697);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верстат </w:t>
      </w:r>
      <w:proofErr w:type="spellStart"/>
      <w:r w:rsidRPr="001D4ACF">
        <w:rPr>
          <w:b/>
          <w:sz w:val="24"/>
          <w:szCs w:val="24"/>
        </w:rPr>
        <w:t>сверлильний</w:t>
      </w:r>
      <w:proofErr w:type="spellEnd"/>
      <w:r w:rsidRPr="001D4ACF">
        <w:rPr>
          <w:b/>
          <w:sz w:val="24"/>
          <w:szCs w:val="24"/>
        </w:rPr>
        <w:t xml:space="preserve"> БС-01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00004671); верстат Ц6-2К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00004656);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дисковий </w:t>
      </w:r>
      <w:proofErr w:type="spellStart"/>
      <w:r w:rsidRPr="001D4ACF">
        <w:rPr>
          <w:b/>
          <w:sz w:val="24"/>
          <w:szCs w:val="24"/>
        </w:rPr>
        <w:t>багатопильний</w:t>
      </w:r>
      <w:proofErr w:type="spellEnd"/>
      <w:r w:rsidRPr="001D4ACF">
        <w:rPr>
          <w:b/>
          <w:sz w:val="24"/>
          <w:szCs w:val="24"/>
        </w:rPr>
        <w:t xml:space="preserve"> верстат «Пауль»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00004710);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бункер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00004784);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верстат заточувальний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№00004690);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лінія ЛО-15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00004759); лінія по переробці л/продукції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00004809);</w:t>
      </w:r>
      <w:r w:rsidRPr="001D4ACF">
        <w:rPr>
          <w:b/>
          <w:color w:val="2E74B5"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лісотранспортер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00005467);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окорувальний верстат ОК-63-2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00048164); верстат </w:t>
      </w:r>
      <w:proofErr w:type="spellStart"/>
      <w:r w:rsidRPr="001D4ACF">
        <w:rPr>
          <w:b/>
          <w:sz w:val="24"/>
          <w:szCs w:val="24"/>
        </w:rPr>
        <w:t>розв</w:t>
      </w:r>
      <w:proofErr w:type="spellEnd"/>
      <w:r w:rsidRPr="001D4ACF">
        <w:rPr>
          <w:b/>
          <w:sz w:val="24"/>
          <w:szCs w:val="24"/>
        </w:rPr>
        <w:t>. с/п УР-1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00048163);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верстат </w:t>
      </w:r>
      <w:proofErr w:type="spellStart"/>
      <w:r w:rsidRPr="001D4ACF">
        <w:rPr>
          <w:b/>
          <w:sz w:val="24"/>
          <w:szCs w:val="24"/>
        </w:rPr>
        <w:t>заточний</w:t>
      </w:r>
      <w:proofErr w:type="spellEnd"/>
      <w:r w:rsidRPr="001D4ACF">
        <w:rPr>
          <w:b/>
          <w:sz w:val="24"/>
          <w:szCs w:val="24"/>
        </w:rPr>
        <w:t xml:space="preserve"> с/пил САЗ-127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00048204);</w:t>
      </w:r>
      <w:r w:rsidRPr="001D4ACF">
        <w:rPr>
          <w:b/>
          <w:color w:val="2E74B5"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бревнотаска</w:t>
      </w:r>
      <w:proofErr w:type="spellEnd"/>
      <w:r w:rsidRPr="001D4ACF">
        <w:rPr>
          <w:b/>
          <w:sz w:val="24"/>
          <w:szCs w:val="24"/>
        </w:rPr>
        <w:t xml:space="preserve"> БЛ-34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00000304),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сушильна камера </w:t>
      </w:r>
      <w:proofErr w:type="spellStart"/>
      <w:r w:rsidRPr="001D4ACF">
        <w:rPr>
          <w:b/>
          <w:sz w:val="24"/>
          <w:szCs w:val="24"/>
        </w:rPr>
        <w:t>Atria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00000397);</w:t>
      </w:r>
      <w:r w:rsidRPr="001D4ACF">
        <w:rPr>
          <w:b/>
          <w:color w:val="2E74B5"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торц</w:t>
      </w:r>
      <w:proofErr w:type="spellEnd"/>
      <w:r w:rsidRPr="001D4ACF">
        <w:rPr>
          <w:b/>
          <w:sz w:val="24"/>
          <w:szCs w:val="24"/>
        </w:rPr>
        <w:t>. верстат OMAG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00004698);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верстат подовжнього розкрою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«</w:t>
      </w:r>
      <w:proofErr w:type="spellStart"/>
      <w:r w:rsidRPr="001D4ACF">
        <w:rPr>
          <w:b/>
          <w:sz w:val="24"/>
          <w:szCs w:val="24"/>
        </w:rPr>
        <w:t>Кадешка</w:t>
      </w:r>
      <w:proofErr w:type="spellEnd"/>
      <w:r w:rsidRPr="001D4ACF">
        <w:rPr>
          <w:b/>
          <w:sz w:val="24"/>
          <w:szCs w:val="24"/>
        </w:rPr>
        <w:t>» КД-700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00048212); котел </w:t>
      </w:r>
      <w:proofErr w:type="spellStart"/>
      <w:r w:rsidRPr="001D4ACF">
        <w:rPr>
          <w:b/>
          <w:sz w:val="24"/>
          <w:szCs w:val="24"/>
        </w:rPr>
        <w:t>водонагр</w:t>
      </w:r>
      <w:proofErr w:type="spellEnd"/>
      <w:r w:rsidRPr="001D4ACF">
        <w:rPr>
          <w:b/>
          <w:sz w:val="24"/>
          <w:szCs w:val="24"/>
        </w:rPr>
        <w:t>. КВ 5-0.50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00008660);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транспортер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00008515);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бункер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00000321);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бункер б/у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00008665);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відкрита площадка з транспортувальною стрічкою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00000279);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рама опорна </w:t>
      </w:r>
      <w:proofErr w:type="spellStart"/>
      <w:r w:rsidRPr="001D4ACF">
        <w:rPr>
          <w:b/>
          <w:sz w:val="24"/>
          <w:szCs w:val="24"/>
        </w:rPr>
        <w:t>подавача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3004);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циклон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00008594);</w:t>
      </w:r>
      <w:r w:rsidRPr="001D4ACF">
        <w:rPr>
          <w:b/>
          <w:color w:val="2E74B5"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колодовирівнювач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00004803);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привід </w:t>
      </w:r>
      <w:proofErr w:type="spellStart"/>
      <w:r w:rsidRPr="001D4ACF">
        <w:rPr>
          <w:b/>
          <w:sz w:val="24"/>
          <w:szCs w:val="24"/>
        </w:rPr>
        <w:t>витягача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3002);</w:t>
      </w:r>
      <w:r w:rsidRPr="001D4ACF">
        <w:rPr>
          <w:b/>
          <w:color w:val="2E74B5"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аспирация</w:t>
      </w:r>
      <w:proofErr w:type="spellEnd"/>
      <w:r w:rsidRPr="001D4ACF">
        <w:rPr>
          <w:b/>
          <w:sz w:val="24"/>
          <w:szCs w:val="24"/>
        </w:rPr>
        <w:t xml:space="preserve"> лісозаводу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00000443);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автонавантажувач 41030-ЛЕВ, в/п 3,3 м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00048216);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верстат для торцювання пакетів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00048224); візок гідравлічний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00048194); операторна будка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00000396); вузол подачі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3000);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вузол витягування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 xml:space="preserve">. № 2999); привід </w:t>
      </w:r>
      <w:proofErr w:type="spellStart"/>
      <w:r w:rsidRPr="001D4ACF">
        <w:rPr>
          <w:b/>
          <w:sz w:val="24"/>
          <w:szCs w:val="24"/>
        </w:rPr>
        <w:t>подавача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3001);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рама </w:t>
      </w:r>
      <w:proofErr w:type="spellStart"/>
      <w:r w:rsidRPr="001D4ACF">
        <w:rPr>
          <w:b/>
          <w:sz w:val="24"/>
          <w:szCs w:val="24"/>
        </w:rPr>
        <w:t>витягача</w:t>
      </w:r>
      <w:proofErr w:type="spellEnd"/>
      <w:r w:rsidRPr="001D4ACF">
        <w:rPr>
          <w:b/>
          <w:sz w:val="24"/>
          <w:szCs w:val="24"/>
        </w:rPr>
        <w:t xml:space="preserve">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3003);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стіл роликовий безпровідний центрувальний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3005); насос GudrgetP-5-24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00008663);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вентилятор ВПУ-48.8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00008486);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вентилятор ВЦП-6-6.3-45-8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00008681);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насос </w:t>
      </w:r>
      <w:proofErr w:type="spellStart"/>
      <w:r w:rsidRPr="001D4ACF">
        <w:rPr>
          <w:b/>
          <w:sz w:val="24"/>
          <w:szCs w:val="24"/>
        </w:rPr>
        <w:t>Grohdfes</w:t>
      </w:r>
      <w:proofErr w:type="spellEnd"/>
      <w:r w:rsidRPr="001D4ACF">
        <w:rPr>
          <w:b/>
          <w:sz w:val="24"/>
          <w:szCs w:val="24"/>
        </w:rPr>
        <w:t xml:space="preserve"> UPS 50/180 F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00008661);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вентилятор ВЦП-7-40-8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00008682);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вентилятор ИПУ-48.8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00008486);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стінка «</w:t>
      </w:r>
      <w:proofErr w:type="spellStart"/>
      <w:r w:rsidRPr="001D4ACF">
        <w:rPr>
          <w:b/>
          <w:sz w:val="24"/>
          <w:szCs w:val="24"/>
        </w:rPr>
        <w:t>Днепр</w:t>
      </w:r>
      <w:proofErr w:type="spellEnd"/>
      <w:r w:rsidRPr="001D4ACF">
        <w:rPr>
          <w:b/>
          <w:sz w:val="24"/>
          <w:szCs w:val="24"/>
        </w:rPr>
        <w:t>»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00008539);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деревообробний верстат ОК 63-2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0008);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верстат для обрізки </w:t>
      </w:r>
      <w:proofErr w:type="spellStart"/>
      <w:r w:rsidRPr="001D4ACF">
        <w:rPr>
          <w:b/>
          <w:sz w:val="24"/>
          <w:szCs w:val="24"/>
        </w:rPr>
        <w:t>горбиля</w:t>
      </w:r>
      <w:proofErr w:type="spellEnd"/>
      <w:r w:rsidRPr="001D4ACF">
        <w:rPr>
          <w:b/>
          <w:sz w:val="24"/>
          <w:szCs w:val="24"/>
        </w:rPr>
        <w:t xml:space="preserve">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 3091); шнек ПШ-200/12м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№00008667);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>верстат</w:t>
      </w:r>
      <w:r w:rsidRPr="001D4ACF">
        <w:rPr>
          <w:b/>
          <w:color w:val="2E74B5"/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для торцювання </w:t>
      </w:r>
      <w:proofErr w:type="spellStart"/>
      <w:r w:rsidRPr="001D4ACF">
        <w:rPr>
          <w:b/>
          <w:sz w:val="24"/>
          <w:szCs w:val="24"/>
        </w:rPr>
        <w:t>палетної</w:t>
      </w:r>
      <w:proofErr w:type="spellEnd"/>
      <w:r w:rsidRPr="001D4ACF">
        <w:rPr>
          <w:b/>
          <w:sz w:val="24"/>
          <w:szCs w:val="24"/>
        </w:rPr>
        <w:t xml:space="preserve"> заготовки СТМ-6 (</w:t>
      </w:r>
      <w:proofErr w:type="spellStart"/>
      <w:r w:rsidRPr="001D4ACF">
        <w:rPr>
          <w:b/>
          <w:sz w:val="24"/>
          <w:szCs w:val="24"/>
        </w:rPr>
        <w:t>інв</w:t>
      </w:r>
      <w:proofErr w:type="spellEnd"/>
      <w:r w:rsidRPr="001D4ACF">
        <w:rPr>
          <w:b/>
          <w:sz w:val="24"/>
          <w:szCs w:val="24"/>
        </w:rPr>
        <w:t>. №</w:t>
      </w:r>
      <w:r w:rsidRPr="001535DE">
        <w:rPr>
          <w:sz w:val="24"/>
          <w:szCs w:val="24"/>
        </w:rPr>
        <w:t xml:space="preserve"> </w:t>
      </w:r>
      <w:r w:rsidRPr="001D4ACF">
        <w:rPr>
          <w:b/>
          <w:sz w:val="24"/>
          <w:szCs w:val="24"/>
        </w:rPr>
        <w:t xml:space="preserve">3092), за </w:t>
      </w:r>
      <w:proofErr w:type="spellStart"/>
      <w:r w:rsidRPr="001D4ACF">
        <w:rPr>
          <w:b/>
          <w:sz w:val="24"/>
          <w:szCs w:val="24"/>
        </w:rPr>
        <w:t>адресою</w:t>
      </w:r>
      <w:proofErr w:type="spellEnd"/>
      <w:r w:rsidRPr="001D4ACF">
        <w:rPr>
          <w:b/>
          <w:sz w:val="24"/>
          <w:szCs w:val="24"/>
        </w:rPr>
        <w:t xml:space="preserve">: Житомирська обл., Коростенський р-н, с. </w:t>
      </w:r>
      <w:proofErr w:type="spellStart"/>
      <w:r w:rsidRPr="001D4ACF">
        <w:rPr>
          <w:b/>
          <w:sz w:val="24"/>
          <w:szCs w:val="24"/>
        </w:rPr>
        <w:t>Бережесть</w:t>
      </w:r>
      <w:proofErr w:type="spellEnd"/>
      <w:r w:rsidRPr="001D4ACF">
        <w:rPr>
          <w:b/>
          <w:sz w:val="24"/>
          <w:szCs w:val="24"/>
        </w:rPr>
        <w:t>, вул. Залізнична, 27.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</w:t>
      </w:r>
      <w:r w:rsidRPr="00E36596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7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 та 54 одиниці обладнання.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1.01.2026</w:t>
      </w:r>
      <w:r w:rsidRPr="00AE7A59">
        <w:rPr>
          <w:sz w:val="24"/>
          <w:szCs w:val="24"/>
        </w:rPr>
        <w:t xml:space="preserve">.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 та обладнання.</w:t>
      </w:r>
    </w:p>
    <w:p w:rsidR="002D3A8C" w:rsidRDefault="002D3A8C" w:rsidP="002D3A8C">
      <w:pPr>
        <w:ind w:firstLine="540"/>
        <w:jc w:val="both"/>
        <w:rPr>
          <w:sz w:val="24"/>
          <w:szCs w:val="24"/>
        </w:rPr>
      </w:pPr>
    </w:p>
    <w:p w:rsidR="002D3A8C" w:rsidRPr="005E2634" w:rsidRDefault="002D3A8C" w:rsidP="002D3A8C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2D3A8C" w:rsidRPr="00F96D90" w:rsidRDefault="002D3A8C" w:rsidP="002D3A8C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2D3A8C" w:rsidRPr="00F96D90" w:rsidRDefault="002D3A8C" w:rsidP="002D3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2D3A8C" w:rsidRPr="00991EC9" w:rsidRDefault="002D3A8C" w:rsidP="002D3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2D3A8C" w:rsidRPr="00A34F11" w:rsidRDefault="002D3A8C" w:rsidP="002D3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2D3A8C" w:rsidRPr="00991EC9" w:rsidRDefault="002D3A8C" w:rsidP="002D3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2D3A8C" w:rsidRPr="00F96D90" w:rsidRDefault="002D3A8C" w:rsidP="002D3A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2D3A8C" w:rsidRPr="00F96D90" w:rsidRDefault="002D3A8C" w:rsidP="002D3A8C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2D3A8C" w:rsidRPr="00296AE5" w:rsidRDefault="002D3A8C" w:rsidP="002D3A8C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2D3A8C" w:rsidRPr="00F96D90" w:rsidRDefault="002D3A8C" w:rsidP="002D3A8C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 w:rsidRPr="00E34460">
        <w:rPr>
          <w:szCs w:val="24"/>
          <w:u w:val="single"/>
        </w:rPr>
        <w:t>13</w:t>
      </w:r>
      <w:r w:rsidRPr="00800A4C">
        <w:rPr>
          <w:szCs w:val="24"/>
          <w:u w:val="single"/>
        </w:rPr>
        <w:t>.</w:t>
      </w:r>
      <w:r>
        <w:rPr>
          <w:szCs w:val="24"/>
          <w:u w:val="single"/>
        </w:rPr>
        <w:t>02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2D3A8C" w:rsidRPr="00C006D7" w:rsidRDefault="002D3A8C" w:rsidP="002D3A8C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</w:rPr>
        <w:t>19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02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610F3B" w:rsidRDefault="00610F3B">
      <w:bookmarkStart w:id="7" w:name="_GoBack"/>
      <w:bookmarkEnd w:id="7"/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D3A8C"/>
    <w:rsid w:val="00482435"/>
    <w:rsid w:val="00610F3B"/>
    <w:rsid w:val="00C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8552</Words>
  <Characters>4876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3</cp:revision>
  <dcterms:created xsi:type="dcterms:W3CDTF">2025-12-16T14:47:00Z</dcterms:created>
  <dcterms:modified xsi:type="dcterms:W3CDTF">2026-02-05T10:22:00Z</dcterms:modified>
</cp:coreProperties>
</file>