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цех переробки консервів загальною площею 781,6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склотари загальною площею 403,8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с.Висоцьк</w:t>
      </w:r>
      <w:proofErr w:type="spellEnd"/>
      <w:r>
        <w:rPr>
          <w:b/>
          <w:sz w:val="24"/>
          <w:szCs w:val="24"/>
        </w:rPr>
        <w:t>, вул. Містечкова, 31.</w:t>
      </w:r>
      <w:r w:rsidRPr="00FE4980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4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B5958" w:rsidRPr="00B832F7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15</w:t>
      </w:r>
      <w:r w:rsidRPr="00B832F7">
        <w:rPr>
          <w:sz w:val="24"/>
          <w:szCs w:val="24"/>
        </w:rPr>
        <w:t>000,00 грн.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B5958" w:rsidRPr="00B832F7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23</w:t>
      </w:r>
      <w:r w:rsidRPr="00B832F7">
        <w:rPr>
          <w:sz w:val="24"/>
          <w:szCs w:val="24"/>
        </w:rPr>
        <w:t>000,00 грн.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</w:t>
      </w:r>
      <w:r>
        <w:rPr>
          <w:b/>
          <w:sz w:val="24"/>
          <w:szCs w:val="24"/>
        </w:rPr>
        <w:t xml:space="preserve">незавершеного будівництва – квартальна котельня,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с.Степанівка</w:t>
      </w:r>
      <w:proofErr w:type="spellEnd"/>
      <w:r>
        <w:rPr>
          <w:b/>
          <w:sz w:val="24"/>
          <w:szCs w:val="24"/>
        </w:rPr>
        <w:t>, вул. Рад, 133/М.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відсутній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1.01.2026</w:t>
      </w:r>
      <w:r w:rsidRPr="00AE7A59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18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нежитлове приміщення магазину загальною площею 75,7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с.Курчицька</w:t>
      </w:r>
      <w:proofErr w:type="spellEnd"/>
      <w:r>
        <w:rPr>
          <w:b/>
          <w:sz w:val="24"/>
          <w:szCs w:val="24"/>
        </w:rPr>
        <w:t xml:space="preserve"> Гута, вул. Заводська, 8.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28.02.2026</w:t>
      </w:r>
      <w:r w:rsidRPr="00AE7A59">
        <w:rPr>
          <w:sz w:val="24"/>
          <w:szCs w:val="24"/>
        </w:rPr>
        <w:t xml:space="preserve">.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2B5958" w:rsidRDefault="002B5958" w:rsidP="002B5958">
      <w:pPr>
        <w:ind w:firstLine="540"/>
        <w:jc w:val="both"/>
        <w:rPr>
          <w:sz w:val="24"/>
          <w:szCs w:val="24"/>
        </w:rPr>
      </w:pPr>
    </w:p>
    <w:p w:rsidR="002B5958" w:rsidRPr="005E2634" w:rsidRDefault="002B5958" w:rsidP="002B5958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2B5958" w:rsidRPr="00F96D90" w:rsidRDefault="002B5958" w:rsidP="002B5958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2B5958" w:rsidRPr="00F96D90" w:rsidRDefault="002B5958" w:rsidP="002B59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2B5958" w:rsidRPr="00991EC9" w:rsidRDefault="002B5958" w:rsidP="002B59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2B5958" w:rsidRPr="00A34F11" w:rsidRDefault="002B5958" w:rsidP="002B59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2B5958" w:rsidRPr="00991EC9" w:rsidRDefault="002B5958" w:rsidP="002B59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2B5958" w:rsidRPr="00F96D90" w:rsidRDefault="002B5958" w:rsidP="002B59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2B5958" w:rsidRPr="00F96D90" w:rsidRDefault="002B5958" w:rsidP="002B5958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2B5958" w:rsidRPr="00296AE5" w:rsidRDefault="002B5958" w:rsidP="002B5958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2B5958" w:rsidRPr="00F96D90" w:rsidRDefault="002B5958" w:rsidP="002B5958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 w:rsidRPr="009670E5">
        <w:rPr>
          <w:szCs w:val="24"/>
          <w:u w:val="single"/>
        </w:rPr>
        <w:t>2</w:t>
      </w:r>
      <w:r>
        <w:rPr>
          <w:szCs w:val="24"/>
          <w:u w:val="single"/>
          <w:lang w:val="en-US"/>
        </w:rPr>
        <w:t>7</w:t>
      </w:r>
      <w:r w:rsidRPr="00800A4C">
        <w:rPr>
          <w:szCs w:val="24"/>
          <w:u w:val="single"/>
        </w:rPr>
        <w:t>.</w:t>
      </w:r>
      <w:r>
        <w:rPr>
          <w:szCs w:val="24"/>
          <w:u w:val="single"/>
        </w:rPr>
        <w:t>03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 xml:space="preserve">На конверті необхідно зробити відмітку «На конкурс з відбору </w:t>
      </w:r>
      <w:r w:rsidRPr="00F96D90">
        <w:rPr>
          <w:szCs w:val="24"/>
        </w:rPr>
        <w:lastRenderedPageBreak/>
        <w:t>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2B5958" w:rsidRPr="00C006D7" w:rsidRDefault="002B5958" w:rsidP="002B5958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  <w:lang w:val="en-US"/>
        </w:rPr>
        <w:t>02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en-US"/>
        </w:rPr>
        <w:t>4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610F3B" w:rsidRDefault="00610F3B" w:rsidP="002B5958">
      <w:pPr>
        <w:ind w:firstLine="540"/>
        <w:jc w:val="both"/>
      </w:pPr>
      <w:bookmarkStart w:id="7" w:name="_GoBack"/>
      <w:bookmarkEnd w:id="7"/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B5958"/>
    <w:rsid w:val="002D3A8C"/>
    <w:rsid w:val="00482435"/>
    <w:rsid w:val="00610F3B"/>
    <w:rsid w:val="00C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4538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4</cp:revision>
  <dcterms:created xsi:type="dcterms:W3CDTF">2025-12-16T14:47:00Z</dcterms:created>
  <dcterms:modified xsi:type="dcterms:W3CDTF">2026-03-10T09:34:00Z</dcterms:modified>
</cp:coreProperties>
</file>