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2" w:rsidRDefault="00B86C4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9F3164" w:rsidRDefault="009F3164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0A070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038B2" w:rsidRDefault="005038B2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</w:p>
    <w:p w:rsidR="00FF0E86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 w:rsidRPr="00FF0E86"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  <w:t>(</w:t>
      </w:r>
      <w:proofErr w:type="spellStart"/>
      <w:r w:rsidRPr="00FF0E86">
        <w:rPr>
          <w:rFonts w:ascii="Times New Roman" w:hAnsi="Times New Roman" w:cs="Times New Roman"/>
          <w:i/>
        </w:rPr>
        <w:t>відповідно</w:t>
      </w:r>
      <w:proofErr w:type="spellEnd"/>
      <w:r w:rsidRPr="00FF0E86">
        <w:rPr>
          <w:rFonts w:ascii="Times New Roman" w:hAnsi="Times New Roman" w:cs="Times New Roman"/>
          <w:i/>
        </w:rPr>
        <w:t xml:space="preserve"> до пункту 4¹ постанови К</w:t>
      </w:r>
      <w:proofErr w:type="spellStart"/>
      <w:r>
        <w:rPr>
          <w:rFonts w:ascii="Times New Roman" w:hAnsi="Times New Roman" w:cs="Times New Roman"/>
          <w:i/>
          <w:lang w:val="uk-UA"/>
        </w:rPr>
        <w:t>абінету</w:t>
      </w:r>
      <w:proofErr w:type="spellEnd"/>
      <w:r w:rsidR="0006216B"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>М</w:t>
      </w:r>
      <w:proofErr w:type="spellStart"/>
      <w:r>
        <w:rPr>
          <w:rFonts w:ascii="Times New Roman" w:hAnsi="Times New Roman" w:cs="Times New Roman"/>
          <w:i/>
          <w:lang w:val="uk-UA"/>
        </w:rPr>
        <w:t>іністрів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r w:rsidRPr="00FF0E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uk-UA"/>
        </w:rPr>
        <w:t xml:space="preserve">України </w:t>
      </w:r>
      <w:proofErr w:type="spellStart"/>
      <w:r w:rsidRPr="00FF0E86">
        <w:rPr>
          <w:rFonts w:ascii="Times New Roman" w:hAnsi="Times New Roman" w:cs="Times New Roman"/>
          <w:i/>
        </w:rPr>
        <w:t>від</w:t>
      </w:r>
      <w:proofErr w:type="spellEnd"/>
      <w:r w:rsidRPr="00FF0E86">
        <w:rPr>
          <w:rFonts w:ascii="Times New Roman" w:hAnsi="Times New Roman" w:cs="Times New Roman"/>
          <w:i/>
        </w:rPr>
        <w:t xml:space="preserve"> 11.10.2016 № 710 </w:t>
      </w:r>
    </w:p>
    <w:p w:rsidR="000A0700" w:rsidRDefault="00FF0E86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proofErr w:type="gramStart"/>
      <w:r w:rsidRPr="00FF0E86">
        <w:rPr>
          <w:rFonts w:ascii="Times New Roman" w:hAnsi="Times New Roman" w:cs="Times New Roman"/>
          <w:i/>
        </w:rPr>
        <w:t xml:space="preserve">“Про </w:t>
      </w:r>
      <w:proofErr w:type="spellStart"/>
      <w:r w:rsidRPr="00FF0E86">
        <w:rPr>
          <w:rFonts w:ascii="Times New Roman" w:hAnsi="Times New Roman" w:cs="Times New Roman"/>
          <w:i/>
        </w:rPr>
        <w:t>ефективне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використання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державних</w:t>
      </w:r>
      <w:proofErr w:type="spellEnd"/>
      <w:r w:rsidRPr="00FF0E86">
        <w:rPr>
          <w:rFonts w:ascii="Times New Roman" w:hAnsi="Times New Roman" w:cs="Times New Roman"/>
          <w:i/>
        </w:rPr>
        <w:t xml:space="preserve"> </w:t>
      </w:r>
      <w:proofErr w:type="spellStart"/>
      <w:r w:rsidRPr="00FF0E86">
        <w:rPr>
          <w:rFonts w:ascii="Times New Roman" w:hAnsi="Times New Roman" w:cs="Times New Roman"/>
          <w:i/>
        </w:rPr>
        <w:t>коштів</w:t>
      </w:r>
      <w:proofErr w:type="spellEnd"/>
      <w:r w:rsidRPr="00FF0E86">
        <w:rPr>
          <w:rFonts w:ascii="Times New Roman" w:hAnsi="Times New Roman" w:cs="Times New Roman"/>
          <w:i/>
        </w:rPr>
        <w:t>"</w:t>
      </w:r>
      <w:r w:rsidR="0006216B">
        <w:rPr>
          <w:rFonts w:ascii="Times New Roman" w:hAnsi="Times New Roman" w:cs="Times New Roman"/>
          <w:i/>
          <w:lang w:val="uk-UA"/>
        </w:rPr>
        <w:t xml:space="preserve"> (з</w:t>
      </w:r>
      <w:r w:rsidR="00D151BB">
        <w:rPr>
          <w:rFonts w:ascii="Times New Roman" w:hAnsi="Times New Roman" w:cs="Times New Roman"/>
          <w:i/>
          <w:lang w:val="uk-UA"/>
        </w:rPr>
        <w:t>і</w:t>
      </w:r>
      <w:r w:rsidR="0006216B">
        <w:rPr>
          <w:rFonts w:ascii="Times New Roman" w:hAnsi="Times New Roman" w:cs="Times New Roman"/>
          <w:i/>
          <w:lang w:val="uk-UA"/>
        </w:rPr>
        <w:t xml:space="preserve"> змінами)</w:t>
      </w:r>
      <w:r w:rsidRPr="00FF0E86">
        <w:rPr>
          <w:rFonts w:ascii="Times New Roman" w:hAnsi="Times New Roman" w:cs="Times New Roman"/>
          <w:i/>
        </w:rPr>
        <w:t>)</w:t>
      </w:r>
      <w:proofErr w:type="gramEnd"/>
    </w:p>
    <w:p w:rsidR="00AE5580" w:rsidRP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Default="00AE5580" w:rsidP="009F3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AE5580" w:rsidRPr="00AE5580" w:rsidRDefault="00AE5580" w:rsidP="000E7D61">
      <w:pPr>
        <w:pStyle w:val="a8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80">
        <w:rPr>
          <w:rFonts w:ascii="Times New Roman" w:hAnsi="Times New Roman" w:cs="Times New Roman"/>
          <w:b/>
          <w:sz w:val="24"/>
          <w:szCs w:val="24"/>
        </w:rPr>
        <w:t xml:space="preserve">Замовник: </w:t>
      </w:r>
      <w:r w:rsidRPr="00AE5580">
        <w:rPr>
          <w:rFonts w:ascii="Times New Roman" w:hAnsi="Times New Roman" w:cs="Times New Roman"/>
          <w:sz w:val="24"/>
          <w:szCs w:val="24"/>
        </w:rPr>
        <w:t>Регіональне відділення Фонду державного майна України по Івано-Франківській, Чернівецькій та Тернопільській областях</w:t>
      </w:r>
    </w:p>
    <w:p w:rsidR="005038B2" w:rsidRPr="005038B2" w:rsidRDefault="005038B2" w:rsidP="000E7D61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333333"/>
          <w:shd w:val="clear" w:color="auto" w:fill="FFFFFF"/>
          <w:lang w:val="uk-UA"/>
        </w:rPr>
      </w:pPr>
    </w:p>
    <w:p w:rsidR="000A0700" w:rsidRPr="003222C0" w:rsidRDefault="00D138BB" w:rsidP="000E7D61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Назва п</w:t>
      </w:r>
      <w:r w:rsidR="009F3164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редмет</w:t>
      </w:r>
      <w:r w:rsidR="00AE5580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>а</w:t>
      </w:r>
      <w:r w:rsidR="009F3164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закупівлі</w:t>
      </w:r>
      <w:r w:rsidR="005E1517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 </w:t>
      </w:r>
      <w:r w:rsidR="005E1517" w:rsidRPr="003222C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A0700" w:rsidRPr="003222C0">
        <w:rPr>
          <w:rFonts w:ascii="Times New Roman" w:hAnsi="Times New Roman"/>
          <w:color w:val="000000"/>
          <w:sz w:val="24"/>
          <w:szCs w:val="24"/>
        </w:rPr>
        <w:t xml:space="preserve">Електрична енергія  за </w:t>
      </w:r>
      <w:proofErr w:type="spellStart"/>
      <w:r w:rsidR="000A0700" w:rsidRPr="003222C0">
        <w:rPr>
          <w:rFonts w:ascii="Times New Roman" w:hAnsi="Times New Roman"/>
          <w:bCs/>
          <w:iCs/>
          <w:sz w:val="24"/>
          <w:szCs w:val="24"/>
        </w:rPr>
        <w:t>ДК</w:t>
      </w:r>
      <w:proofErr w:type="spellEnd"/>
      <w:r w:rsidR="000A0700" w:rsidRPr="003222C0">
        <w:rPr>
          <w:rFonts w:ascii="Times New Roman" w:hAnsi="Times New Roman"/>
          <w:bCs/>
          <w:iCs/>
          <w:sz w:val="24"/>
          <w:szCs w:val="24"/>
        </w:rPr>
        <w:t xml:space="preserve"> 021:2015 – 09310000-5 (</w:t>
      </w:r>
      <w:r w:rsidR="003222C0">
        <w:rPr>
          <w:rFonts w:ascii="Times New Roman" w:hAnsi="Times New Roman"/>
          <w:bCs/>
          <w:iCs/>
          <w:sz w:val="24"/>
          <w:szCs w:val="24"/>
        </w:rPr>
        <w:t>Е</w:t>
      </w:r>
      <w:r w:rsidR="000A0700" w:rsidRPr="003222C0">
        <w:rPr>
          <w:rFonts w:ascii="Times New Roman" w:hAnsi="Times New Roman"/>
          <w:bCs/>
          <w:iCs/>
          <w:sz w:val="24"/>
          <w:szCs w:val="24"/>
        </w:rPr>
        <w:t>лектрична енергія)</w:t>
      </w:r>
      <w:r w:rsidR="003222C0">
        <w:rPr>
          <w:rFonts w:ascii="Times New Roman" w:hAnsi="Times New Roman"/>
          <w:bCs/>
          <w:iCs/>
          <w:sz w:val="24"/>
          <w:szCs w:val="24"/>
        </w:rPr>
        <w:t>;</w:t>
      </w:r>
      <w:r w:rsidR="000E7D61" w:rsidRPr="003222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A0700" w:rsidRPr="003222C0">
        <w:rPr>
          <w:rFonts w:ascii="Times New Roman" w:hAnsi="Times New Roman" w:cs="Times New Roman"/>
          <w:color w:val="333333"/>
          <w:sz w:val="24"/>
          <w:szCs w:val="24"/>
        </w:rPr>
        <w:t xml:space="preserve">код </w:t>
      </w:r>
      <w:proofErr w:type="spellStart"/>
      <w:r w:rsidR="000A0700" w:rsidRPr="003222C0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0A0700" w:rsidRPr="003222C0">
        <w:rPr>
          <w:rFonts w:ascii="Times New Roman" w:hAnsi="Times New Roman" w:cs="Times New Roman"/>
          <w:sz w:val="24"/>
          <w:szCs w:val="24"/>
        </w:rPr>
        <w:t xml:space="preserve"> 021:2015 – 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</w:rPr>
        <w:t>09310000-5 (</w:t>
      </w:r>
      <w:r w:rsidR="003222C0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</w:rPr>
        <w:t>лектрична енергія);</w:t>
      </w:r>
    </w:p>
    <w:p w:rsidR="005038B2" w:rsidRDefault="000E7D61" w:rsidP="000E7D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5038B2" w:rsidRPr="00AE5580" w:rsidRDefault="005038B2" w:rsidP="00645EB0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73A2">
        <w:rPr>
          <w:rFonts w:ascii="Times New Roman" w:hAnsi="Times New Roman" w:cs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8B2">
        <w:rPr>
          <w:rFonts w:ascii="Times New Roman" w:hAnsi="Times New Roman" w:cs="Times New Roman"/>
          <w:sz w:val="24"/>
          <w:szCs w:val="24"/>
        </w:rPr>
        <w:t>Відкриті торги</w:t>
      </w:r>
      <w:r w:rsidR="005E1517">
        <w:rPr>
          <w:rFonts w:ascii="Times New Roman" w:hAnsi="Times New Roman" w:cs="Times New Roman"/>
          <w:sz w:val="24"/>
          <w:szCs w:val="24"/>
        </w:rPr>
        <w:t xml:space="preserve"> з особливостями</w:t>
      </w:r>
    </w:p>
    <w:p w:rsidR="00AE5580" w:rsidRDefault="00AE5580" w:rsidP="00645EB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</w:pPr>
    </w:p>
    <w:p w:rsidR="00645EB0" w:rsidRPr="0098739B" w:rsidRDefault="00AE5580" w:rsidP="00645EB0">
      <w:pPr>
        <w:pStyle w:val="a8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EB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eastAsia="ru-RU"/>
        </w:rPr>
        <w:t xml:space="preserve">Ідентифікатор  закупівлі: </w:t>
      </w:r>
      <w:r w:rsidR="003222C0" w:rsidRPr="0098739B">
        <w:rPr>
          <w:rFonts w:ascii="Times New Roman" w:hAnsi="Times New Roman" w:cs="Times New Roman"/>
          <w:sz w:val="24"/>
          <w:szCs w:val="24"/>
          <w:shd w:val="clear" w:color="auto" w:fill="FFFFFF"/>
        </w:rPr>
        <w:t>UA-2023-06-</w:t>
      </w:r>
      <w:r w:rsidR="00645EB0" w:rsidRPr="0098739B">
        <w:rPr>
          <w:rFonts w:ascii="Times New Roman" w:hAnsi="Times New Roman" w:cs="Times New Roman"/>
          <w:sz w:val="24"/>
          <w:szCs w:val="24"/>
          <w:shd w:val="clear" w:color="auto" w:fill="FFFFFF"/>
        </w:rPr>
        <w:t>27-007467-a</w:t>
      </w:r>
    </w:p>
    <w:p w:rsidR="00645EB0" w:rsidRPr="00645EB0" w:rsidRDefault="00645EB0" w:rsidP="00645EB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</w:p>
    <w:p w:rsidR="00E347E2" w:rsidRDefault="000E7D61" w:rsidP="00645EB0">
      <w:pPr>
        <w:tabs>
          <w:tab w:val="left" w:pos="993"/>
          <w:tab w:val="left" w:pos="1560"/>
        </w:tabs>
        <w:spacing w:after="0" w:line="240" w:lineRule="auto"/>
        <w:ind w:left="-284" w:right="-2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bookmarkStart w:id="0" w:name="n415"/>
      <w:bookmarkEnd w:id="0"/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5</w:t>
      </w:r>
      <w:r w:rsidR="00CD051F" w:rsidRPr="00E347E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. </w:t>
      </w:r>
      <w:r w:rsidR="00E347E2" w:rsidRPr="00E347E2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  <w:lang w:val="uk-UA"/>
        </w:rPr>
        <w:t>Обґрунтування доцільності закупівлі</w:t>
      </w:r>
      <w:r w:rsidR="00E347E2" w:rsidRPr="00E347E2">
        <w:rPr>
          <w:rFonts w:ascii="Arial" w:hAnsi="Arial" w:cs="Arial"/>
          <w:color w:val="0E1D2F"/>
          <w:shd w:val="clear" w:color="auto" w:fill="FFFFFF"/>
          <w:lang w:val="uk-UA"/>
        </w:rPr>
        <w:t>.</w:t>
      </w:r>
      <w:r w:rsidR="00E347E2">
        <w:rPr>
          <w:rFonts w:ascii="Arial" w:hAnsi="Arial" w:cs="Arial"/>
          <w:color w:val="0E1D2F"/>
          <w:shd w:val="clear" w:color="auto" w:fill="FFFFFF"/>
        </w:rPr>
        <w:t> </w:t>
      </w:r>
      <w:r w:rsidR="005E1517" w:rsidRPr="000E7D61">
        <w:rPr>
          <w:rFonts w:ascii="Times New Roman" w:hAnsi="Times New Roman" w:cs="Times New Roman"/>
          <w:color w:val="0E1D2F"/>
          <w:shd w:val="clear" w:color="auto" w:fill="FFFFFF"/>
          <w:lang w:val="uk-UA"/>
        </w:rPr>
        <w:t>Д</w:t>
      </w:r>
      <w:r w:rsidR="005E1517" w:rsidRPr="000E7D6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ля 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задоволення потреб у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забезпечення цілодобової поставки електричної енергії на протязі 2023 року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</w:t>
      </w:r>
      <w:r w:rsidR="005E1517" w:rsidRPr="005E151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об’єктів Замовника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E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створення здорових та безпечних умов, необхідних для належного виконання державними службовцями своїх обов’язків, </w:t>
      </w:r>
      <w:r w:rsidR="00925B0F" w:rsidRP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завдань</w:t>
      </w:r>
      <w:r w:rsidR="00E347E2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>,</w:t>
      </w:r>
      <w:r w:rsidR="00925B0F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  <w:lang w:val="uk-UA"/>
        </w:rPr>
        <w:t xml:space="preserve"> визначених </w:t>
      </w:r>
      <w:r w:rsidR="00925B0F" w:rsidRPr="00925B0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Положенням про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Регіональне відділення Фонду державного майна України по Івано-Франківській, Чернівецькій та Тернопільській областях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затвердженого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наказом Фонду державного майна України</w:t>
      </w:r>
      <w:r w:rsidR="00925B0F" w:rsidRPr="00925B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від 14.03.2019 р. № 255</w:t>
      </w:r>
      <w:r w:rsidR="00925B0F">
        <w:rPr>
          <w:lang w:val="uk-UA"/>
        </w:rPr>
        <w:t xml:space="preserve"> 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наказу ФДМУ від 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3222C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98739B">
        <w:rPr>
          <w:rFonts w:ascii="Times New Roman" w:hAnsi="Times New Roman" w:cs="Times New Roman"/>
          <w:sz w:val="24"/>
          <w:szCs w:val="24"/>
          <w:lang w:val="uk-UA"/>
        </w:rPr>
        <w:t>708</w:t>
      </w:r>
      <w:r w:rsidR="00925B0F" w:rsidRPr="00925B0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5B0F" w:rsidRPr="000E7D6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645EB0" w:rsidRPr="000E7D61" w:rsidRDefault="00645EB0" w:rsidP="00645EB0">
      <w:pPr>
        <w:tabs>
          <w:tab w:val="left" w:pos="993"/>
          <w:tab w:val="left" w:pos="1560"/>
        </w:tabs>
        <w:spacing w:after="0" w:line="240" w:lineRule="auto"/>
        <w:ind w:left="-284" w:right="-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0A0700" w:rsidRPr="003222C0" w:rsidRDefault="000E7D61" w:rsidP="003222C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AE558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6.</w:t>
      </w:r>
      <w:r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 </w:t>
      </w:r>
      <w:r w:rsidR="00CD051F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>Обсяги закупівлі електричної енергії:</w:t>
      </w:r>
      <w:r w:rsidR="005038B2" w:rsidRPr="003222C0">
        <w:rPr>
          <w:rFonts w:ascii="SourceSansPro" w:eastAsia="Times New Roman" w:hAnsi="SourceSansPro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r w:rsidR="00645EB0">
        <w:rPr>
          <w:rFonts w:ascii="Times New Roman" w:hAnsi="Times New Roman" w:cs="Times New Roman"/>
          <w:color w:val="000000"/>
          <w:sz w:val="24"/>
          <w:szCs w:val="24"/>
          <w:lang w:val="uk-UA"/>
        </w:rPr>
        <w:t>16</w:t>
      </w:r>
      <w:r w:rsidR="000A0700" w:rsidRPr="00AE558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45EB0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A0700" w:rsidRPr="003222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00 </w:t>
      </w:r>
      <w:proofErr w:type="spellStart"/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кВт</w:t>
      </w:r>
      <w:r w:rsidR="000A0700" w:rsidRPr="003222C0">
        <w:rPr>
          <w:rFonts w:ascii="Times New Roman" w:hAnsi="Cambria Math" w:cs="Times New Roman"/>
          <w:color w:val="222222"/>
          <w:sz w:val="24"/>
          <w:szCs w:val="24"/>
          <w:shd w:val="clear" w:color="auto" w:fill="FFFFFF"/>
          <w:lang w:val="uk-UA"/>
        </w:rPr>
        <w:t>⋅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год</w:t>
      </w:r>
      <w:proofErr w:type="spellEnd"/>
      <w:r w:rsid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  <w:r w:rsidR="000A0700" w:rsidRPr="003222C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5038B2" w:rsidRPr="005038B2" w:rsidRDefault="005038B2" w:rsidP="005038B2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7D61" w:rsidRPr="00B11FF5" w:rsidRDefault="005038B2" w:rsidP="000E7D61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61">
        <w:rPr>
          <w:rFonts w:ascii="Times New Roman" w:hAnsi="Times New Roman" w:cs="Times New Roman"/>
          <w:b/>
          <w:color w:val="0E1D2F"/>
          <w:sz w:val="24"/>
          <w:szCs w:val="24"/>
          <w:shd w:val="clear" w:color="auto" w:fill="FFFFFF"/>
        </w:rPr>
        <w:t>Обґрунтування обсягів закупівлі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. Обсяги закупівлі електричної енергії визначено відповідно до очікуваної потреби, обрахованої 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з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амовником на основі </w:t>
      </w:r>
      <w:r w:rsidR="00645EB0" w:rsidRPr="00CA507A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фактичного помісячного споживання електричної енергії у поточному році</w:t>
      </w:r>
      <w:r w:rsidR="003222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, </w:t>
      </w:r>
      <w:r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обсягу фінансування</w:t>
      </w:r>
      <w:r w:rsidR="005E1517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згідно Кошторису на 2023 рік Регіонального відділення</w:t>
      </w:r>
      <w:r w:rsidR="000E7D61" w:rsidRPr="000E7D61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 </w:t>
      </w:r>
      <w:r w:rsidR="003222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(з вн</w:t>
      </w:r>
      <w:r w:rsidR="005A44C0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>е</w:t>
      </w:r>
      <w:r w:rsidR="00D5344F">
        <w:rPr>
          <w:rFonts w:ascii="Times New Roman" w:hAnsi="Times New Roman" w:cs="Times New Roman"/>
          <w:color w:val="0E1D2F"/>
          <w:sz w:val="24"/>
          <w:szCs w:val="24"/>
          <w:shd w:val="clear" w:color="auto" w:fill="FFFFFF"/>
        </w:rPr>
        <w:t xml:space="preserve">сеними змінами) </w:t>
      </w:r>
      <w:r w:rsidR="00D5344F">
        <w:rPr>
          <w:rFonts w:ascii="Times New Roman" w:hAnsi="Times New Roman" w:cs="Times New Roman"/>
          <w:sz w:val="24"/>
          <w:szCs w:val="24"/>
        </w:rPr>
        <w:t>за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 КПКВК 6611010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“Керівництво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та управління у сфері державного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майна”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</w:t>
      </w:r>
      <w:r w:rsidR="00D5344F">
        <w:rPr>
          <w:rFonts w:ascii="Times New Roman" w:hAnsi="Times New Roman" w:cs="Times New Roman"/>
          <w:sz w:val="24"/>
          <w:szCs w:val="24"/>
        </w:rPr>
        <w:t>по</w:t>
      </w:r>
      <w:r w:rsidR="000E7D61" w:rsidRPr="000E7D61">
        <w:rPr>
          <w:rFonts w:ascii="Times New Roman" w:hAnsi="Times New Roman" w:cs="Times New Roman"/>
          <w:sz w:val="24"/>
          <w:szCs w:val="24"/>
        </w:rPr>
        <w:t xml:space="preserve"> КЕКВ-2273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“Оплата</w:t>
      </w:r>
      <w:proofErr w:type="spellEnd"/>
      <w:r w:rsidR="000E7D61" w:rsidRPr="000E7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1" w:rsidRPr="000E7D61">
        <w:rPr>
          <w:rFonts w:ascii="Times New Roman" w:hAnsi="Times New Roman" w:cs="Times New Roman"/>
          <w:sz w:val="24"/>
          <w:szCs w:val="24"/>
        </w:rPr>
        <w:t>електроенергії</w:t>
      </w:r>
      <w:r w:rsidR="000E7D61" w:rsidRPr="000E7D61">
        <w:rPr>
          <w:rFonts w:ascii="Times New Roman" w:hAnsi="Times New Roman" w:cs="Times New Roman"/>
          <w:sz w:val="26"/>
          <w:szCs w:val="26"/>
        </w:rPr>
        <w:t>”</w:t>
      </w:r>
      <w:proofErr w:type="spellEnd"/>
      <w:r w:rsidR="000E7D61">
        <w:rPr>
          <w:rFonts w:ascii="Times New Roman" w:hAnsi="Times New Roman" w:cs="Times New Roman"/>
          <w:sz w:val="26"/>
          <w:szCs w:val="26"/>
        </w:rPr>
        <w:t>.</w:t>
      </w:r>
    </w:p>
    <w:p w:rsidR="00B86C42" w:rsidRPr="00B11FF5" w:rsidRDefault="00B86C42" w:rsidP="00B11FF5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11FF5" w:rsidRPr="00B11FF5" w:rsidRDefault="00925B0F" w:rsidP="00B11FF5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Обґрунтування технічних та якісних характеристик предмета закупівлі</w:t>
      </w:r>
      <w:r w:rsidR="00AE5580" w:rsidRPr="00B11FF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AE5580" w:rsidRPr="00B11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B11FF5" w:rsidRPr="00B11FF5" w:rsidRDefault="00B11FF5" w:rsidP="00B11FF5">
      <w:pPr>
        <w:tabs>
          <w:tab w:val="left" w:pos="426"/>
          <w:tab w:val="left" w:pos="993"/>
        </w:tabs>
        <w:spacing w:after="0" w:line="240" w:lineRule="auto"/>
        <w:ind w:left="-284" w:firstLine="426"/>
        <w:jc w:val="both"/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1FF5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ідповідно до положень пункту 11.4.6 глави 11.4 розділу XI Кодексу систем розподілу, затвердженого постановою НКРЕКП від 14.03.2018 № 310, 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“Характеристики</w:t>
      </w:r>
      <w:proofErr w:type="spellEnd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напруги електропостачання в електричних мережах загального </w:t>
      </w:r>
      <w:proofErr w:type="spellStart"/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>призначення”</w:t>
      </w:r>
      <w:proofErr w:type="spellEnd"/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 xml:space="preserve"> (EN 50160:2014).</w:t>
      </w:r>
    </w:p>
    <w:p w:rsidR="00B11FF5" w:rsidRPr="00B11FF5" w:rsidRDefault="00B11FF5" w:rsidP="00B11FF5">
      <w:p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Оцінка відповідності показників </w:t>
      </w:r>
      <w:r w:rsidRPr="00B11FF5">
        <w:rPr>
          <w:rStyle w:val="rvts0"/>
          <w:rFonts w:ascii="Times New Roman" w:eastAsia="Calibri" w:hAnsi="Times New Roman" w:cs="Times New Roman"/>
          <w:sz w:val="24"/>
          <w:szCs w:val="24"/>
          <w:lang w:val="uk-UA"/>
        </w:rPr>
        <w:t>якості електричної енергії</w:t>
      </w:r>
      <w:r w:rsidRPr="00B11FF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проводиться на проміжку розрахункового періоду, рівного 24 годинам.</w:t>
      </w:r>
    </w:p>
    <w:p w:rsidR="00925B0F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hAnsi="Times New Roman"/>
          <w:sz w:val="24"/>
          <w:szCs w:val="24"/>
        </w:rPr>
      </w:pP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361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180">
        <w:rPr>
          <w:rFonts w:ascii="Times New Roman" w:hAnsi="Times New Roman"/>
          <w:sz w:val="24"/>
          <w:szCs w:val="24"/>
        </w:rPr>
        <w:t xml:space="preserve">Технічні, якісні характеристики предмета закупівлі повинні відповідати встановленим/зареєстрованим діючим нормативним актам діючого законодавства (державним стандартам (технічним умовам)), які передбачають застосування заходів із захисту довкілля.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     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К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омерційн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якість електричної енергії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постачання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передбачає вчасне та повне інформування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замовника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про умови постачання електричної енергії, надання роз’яснень положень актів законодавства, якими регулюються відносини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між замовником та постачальником електричної енергії</w:t>
      </w:r>
      <w:r w:rsidRPr="00B11FF5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ведення точних та прозорих розрахунків, а також можливість вирішення спірних питань шляхом досудового врегулювання. </w:t>
      </w:r>
    </w:p>
    <w:p w:rsidR="00B11FF5" w:rsidRPr="00B11FF5" w:rsidRDefault="00B11FF5" w:rsidP="00B11FF5">
      <w:pPr>
        <w:spacing w:after="0" w:line="240" w:lineRule="auto"/>
        <w:ind w:left="-284" w:right="-7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Під час постачання електричної енергії повинн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 бути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забезпеч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ена 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реалізаці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права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B11F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амовника 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особистий прийом відповідною службовою (посадовою) особою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постачальника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 метою можливості оперативного вирішення проблемних питань, які можуть виникати під час купівлі-продажу електричної енергії між </w:t>
      </w:r>
      <w:r w:rsidR="00614CD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сторонами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у відповідності до вимог пунктів 8.3.6 та 8.3.17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“Правил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роздрібного ринку електричної </w:t>
      </w:r>
      <w:proofErr w:type="spellStart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енергії”</w:t>
      </w:r>
      <w:proofErr w:type="spellEnd"/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затверджених постановою НКРЕКП від </w:t>
      </w:r>
      <w:r w:rsidRPr="00B11FF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14.03.2018  № 312</w:t>
      </w:r>
      <w:r w:rsidRPr="00B11FF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(зі змінами).  </w:t>
      </w:r>
    </w:p>
    <w:p w:rsidR="00B11FF5" w:rsidRPr="005038B2" w:rsidRDefault="00B11FF5" w:rsidP="00B11FF5">
      <w:pPr>
        <w:pStyle w:val="aa"/>
        <w:tabs>
          <w:tab w:val="left" w:pos="0"/>
        </w:tabs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B16E2" w:rsidRPr="004B16E2" w:rsidRDefault="00925B0F" w:rsidP="004B16E2">
      <w:pPr>
        <w:pStyle w:val="rvps2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-284" w:firstLine="426"/>
        <w:jc w:val="both"/>
        <w:rPr>
          <w:color w:val="333333"/>
        </w:rPr>
      </w:pPr>
      <w:r w:rsidRPr="004B16E2">
        <w:rPr>
          <w:b/>
          <w:color w:val="333333"/>
        </w:rPr>
        <w:t>Очікувана вартість предмета закупівлі:</w:t>
      </w:r>
      <w:r w:rsidRPr="004B16E2">
        <w:rPr>
          <w:i/>
          <w:color w:val="333333"/>
        </w:rPr>
        <w:t xml:space="preserve"> </w:t>
      </w:r>
      <w:r w:rsidR="00645EB0">
        <w:rPr>
          <w:color w:val="333333"/>
        </w:rPr>
        <w:t>82</w:t>
      </w:r>
      <w:r w:rsidR="004B16E2" w:rsidRPr="004B16E2">
        <w:rPr>
          <w:color w:val="333333"/>
        </w:rPr>
        <w:t xml:space="preserve"> </w:t>
      </w:r>
      <w:r w:rsidR="00645EB0">
        <w:rPr>
          <w:color w:val="333333"/>
        </w:rPr>
        <w:t>5</w:t>
      </w:r>
      <w:r w:rsidR="00D5344F">
        <w:rPr>
          <w:color w:val="333333"/>
        </w:rPr>
        <w:t>0</w:t>
      </w:r>
      <w:r w:rsidR="004B16E2" w:rsidRPr="004B16E2">
        <w:rPr>
          <w:color w:val="333333"/>
        </w:rPr>
        <w:t>0, 00 грн.</w:t>
      </w:r>
      <w:r w:rsidR="004B16E2" w:rsidRPr="004B16E2">
        <w:rPr>
          <w:i/>
          <w:color w:val="333333"/>
        </w:rPr>
        <w:t xml:space="preserve"> (</w:t>
      </w:r>
      <w:r w:rsidR="00D5344F">
        <w:rPr>
          <w:i/>
          <w:color w:val="333333"/>
        </w:rPr>
        <w:t xml:space="preserve">вісімдесят </w:t>
      </w:r>
      <w:r w:rsidR="00645EB0">
        <w:rPr>
          <w:i/>
          <w:color w:val="333333"/>
        </w:rPr>
        <w:t>дві</w:t>
      </w:r>
      <w:r w:rsidR="004B16E2" w:rsidRPr="004B16E2">
        <w:rPr>
          <w:i/>
          <w:color w:val="333333"/>
        </w:rPr>
        <w:t xml:space="preserve"> тисяч</w:t>
      </w:r>
      <w:r w:rsidR="00645EB0">
        <w:rPr>
          <w:i/>
          <w:color w:val="333333"/>
        </w:rPr>
        <w:t>і</w:t>
      </w:r>
      <w:r w:rsidR="004B16E2" w:rsidRPr="004B16E2">
        <w:rPr>
          <w:i/>
          <w:color w:val="333333"/>
        </w:rPr>
        <w:t xml:space="preserve"> </w:t>
      </w:r>
      <w:r w:rsidR="00645EB0">
        <w:rPr>
          <w:i/>
          <w:color w:val="333333"/>
        </w:rPr>
        <w:t>п</w:t>
      </w:r>
      <w:r w:rsidR="00645EB0" w:rsidRPr="00645EB0">
        <w:rPr>
          <w:i/>
          <w:color w:val="333333"/>
        </w:rPr>
        <w:t>’</w:t>
      </w:r>
      <w:r w:rsidR="00645EB0">
        <w:rPr>
          <w:i/>
          <w:color w:val="333333"/>
        </w:rPr>
        <w:t>ятсот</w:t>
      </w:r>
      <w:r w:rsidR="004B16E2" w:rsidRPr="004B16E2">
        <w:rPr>
          <w:i/>
          <w:color w:val="333333"/>
        </w:rPr>
        <w:t xml:space="preserve"> гривень нуль копійок) </w:t>
      </w:r>
      <w:r w:rsidR="004B16E2" w:rsidRPr="004B16E2">
        <w:rPr>
          <w:color w:val="333333"/>
        </w:rPr>
        <w:t>з урахуванням ПДВ</w:t>
      </w:r>
      <w:r w:rsidR="00D5344F">
        <w:rPr>
          <w:color w:val="333333"/>
        </w:rPr>
        <w:t>.</w:t>
      </w:r>
    </w:p>
    <w:p w:rsidR="00925B0F" w:rsidRPr="00D5344F" w:rsidRDefault="004B16E2" w:rsidP="00D5344F">
      <w:pPr>
        <w:tabs>
          <w:tab w:val="left" w:pos="-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5A44C0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:rsidR="000208A5" w:rsidRPr="000208A5" w:rsidRDefault="00E347E2" w:rsidP="00FB6DED">
      <w:pPr>
        <w:pStyle w:val="a8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Обґрунтування очікуваної вартості предмета закупівлі</w:t>
      </w:r>
      <w:r w:rsidR="00AE5580" w:rsidRPr="000208A5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. </w:t>
      </w:r>
      <w:r w:rsidRPr="000208A5">
        <w:rPr>
          <w:rFonts w:ascii="Times New Roman" w:hAnsi="Times New Roman" w:cs="Times New Roman"/>
          <w:sz w:val="24"/>
          <w:szCs w:val="24"/>
        </w:rPr>
        <w:t xml:space="preserve">Очікувана вартість </w:t>
      </w:r>
      <w:r w:rsidR="004B4458" w:rsidRPr="000208A5">
        <w:rPr>
          <w:rFonts w:ascii="Times New Roman" w:hAnsi="Times New Roman" w:cs="Times New Roman"/>
          <w:sz w:val="24"/>
          <w:szCs w:val="24"/>
        </w:rPr>
        <w:t>предмета закупівлі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Pr="000208A5">
        <w:rPr>
          <w:rFonts w:ascii="Times New Roman" w:hAnsi="Times New Roman" w:cs="Times New Roman"/>
          <w:sz w:val="24"/>
          <w:szCs w:val="24"/>
        </w:rPr>
        <w:t>визначена</w:t>
      </w:r>
      <w:r w:rsidR="001A3EDF" w:rsidRPr="000208A5">
        <w:rPr>
          <w:rFonts w:ascii="Times New Roman" w:hAnsi="Times New Roman" w:cs="Times New Roman"/>
          <w:sz w:val="24"/>
          <w:szCs w:val="24"/>
        </w:rPr>
        <w:t xml:space="preserve"> </w:t>
      </w:r>
      <w:r w:rsidR="009A68AF" w:rsidRPr="000208A5">
        <w:rPr>
          <w:rFonts w:ascii="Times New Roman" w:hAnsi="Times New Roman" w:cs="Times New Roman"/>
          <w:sz w:val="24"/>
          <w:szCs w:val="24"/>
        </w:rPr>
        <w:t xml:space="preserve">з врахуванням рекомендацій викладених в 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Примірній методиці визначення очікуваної вартості предмета закупівлі, затверджен</w:t>
      </w:r>
      <w:r w:rsidR="004F43A3">
        <w:rPr>
          <w:rFonts w:ascii="Times New Roman" w:eastAsia="Times New Roman" w:hAnsi="Times New Roman" w:cs="Times New Roman"/>
          <w:color w:val="202124"/>
          <w:sz w:val="24"/>
          <w:szCs w:val="24"/>
        </w:rPr>
        <w:t>ій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наказом Міністерства розвитку економіки, торгівлі та сільського господарства України (Мінекономіки) від 18.02.2020 р. №275 (</w:t>
      </w:r>
      <w:r w:rsidR="00D5344F">
        <w:rPr>
          <w:rFonts w:ascii="Times New Roman" w:eastAsia="Times New Roman" w:hAnsi="Times New Roman" w:cs="Times New Roman"/>
          <w:color w:val="202124"/>
          <w:sz w:val="24"/>
          <w:szCs w:val="24"/>
        </w:rPr>
        <w:t>зі</w:t>
      </w:r>
      <w:r w:rsidR="009A68AF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змінами)</w:t>
      </w:r>
      <w:r w:rsidR="000208A5" w:rsidRPr="000208A5"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:rsidR="004238DC" w:rsidRDefault="004F43A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B6D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sz w:val="24"/>
          <w:szCs w:val="24"/>
          <w:lang w:val="uk-UA"/>
        </w:rPr>
        <w:t xml:space="preserve">Очікувану вартість закупівлі електричної енергії визначено як добуток необхідного обсягу постачання електричної енергії та ціни (тарифу) за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електричної енергії</w:t>
      </w:r>
      <w:r w:rsid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яка обрахована за формулою:</w:t>
      </w:r>
    </w:p>
    <w:p w:rsidR="004238DC" w:rsidRDefault="004238DC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Ц= (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) </w:t>
      </w:r>
      <w:r w:rsidRPr="004238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vertAlign w:val="subscript"/>
          <w:lang w:val="uk-UA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</w:t>
      </w:r>
      <w:r w:rsid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де</w:t>
      </w:r>
    </w:p>
    <w:p w:rsidR="00F71303" w:rsidRPr="004238DC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Ц – ц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4F43A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електричної енергії,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без ПДВ; </w:t>
      </w:r>
    </w:p>
    <w:p w:rsidR="000208A5" w:rsidRPr="00F71303" w:rsidRDefault="00F71303" w:rsidP="00FB6DE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Ц </w:t>
      </w:r>
      <w:proofErr w:type="spellStart"/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рнп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середньозважена фактична ціна електричної енергії </w:t>
      </w:r>
      <w:r w:rsidR="000208A5" w:rsidRPr="00F7130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ринку </w:t>
      </w:r>
      <w:proofErr w:type="spellStart"/>
      <w:r w:rsidR="004F43A3" w:rsidRPr="00C61F2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lang w:val="uk-UA"/>
        </w:rPr>
        <w:t>“</w:t>
      </w:r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</w:t>
      </w:r>
      <w:proofErr w:type="spellEnd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="004F43A3" w:rsidRPr="004F43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без ПДВ; </w:t>
      </w:r>
    </w:p>
    <w:p w:rsidR="000208A5" w:rsidRPr="004F43A3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пер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–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тариф на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послуги з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передач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і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;</w:t>
      </w:r>
    </w:p>
    <w:p w:rsidR="00F90359" w:rsidRDefault="00F71303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Т</w:t>
      </w:r>
      <w:r w:rsidRPr="004238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>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uk-UA"/>
        </w:rPr>
        <w:t xml:space="preserve"> </w:t>
      </w:r>
      <w:r w:rsidRPr="00F7130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– 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тариф (марж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>а</w:t>
      </w:r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послуги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постачальника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="000208A5" w:rsidRPr="004F43A3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4F43A3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4F43A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 без ПДВ</w:t>
      </w:r>
      <w:r w:rsidR="00F903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0208A5" w:rsidRPr="005A44C0" w:rsidRDefault="00F90359" w:rsidP="00FB6DE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1,2 – коефіцієнт ПДВ.</w:t>
      </w:r>
    </w:p>
    <w:p w:rsidR="005C082B" w:rsidRPr="00645EB0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Рекомендаційного листа Міністерства розвитку економіки, торгівлі та сільського господарства України (Мінекономіки) </w:t>
      </w:r>
      <w:proofErr w:type="spellStart"/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зміни ціни в договорах постачання електричної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енергії</w:t>
      </w: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A44C0">
        <w:rPr>
          <w:rFonts w:ascii="Times New Roman" w:eastAsia="Times New Roman" w:hAnsi="Times New Roman" w:cs="Times New Roman"/>
          <w:sz w:val="24"/>
          <w:szCs w:val="24"/>
          <w:lang w:val="uk-UA"/>
        </w:rPr>
        <w:t>№33004-04/33869-06 від 14.08.2019, п</w:t>
      </w:r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ри визначенні </w:t>
      </w:r>
      <w:r w:rsidRPr="005A44C0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середньозваженої фактичної ціни електричної енергії на ринку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“на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, враховувалась інформація із офіційного сайту державного підприємства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“Оператор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ринку”</w:t>
      </w:r>
      <w:proofErr w:type="spellEnd"/>
      <w:r w:rsidRPr="005A44C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hyperlink r:id="rId8" w:history="1"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oree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Pr="005A44C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proofErr w:type="spellStart"/>
        <w:r w:rsidRPr="005C082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ua</w:t>
        </w:r>
        <w:proofErr w:type="spellEnd"/>
      </w:hyperlink>
      <w:r w:rsidR="00645EB0">
        <w:rPr>
          <w:lang w:val="uk-UA"/>
        </w:rPr>
        <w:t>.</w:t>
      </w:r>
      <w:r w:rsidRPr="005A44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5EB0" w:rsidRPr="00645EB0">
        <w:rPr>
          <w:rFonts w:ascii="Times New Roman" w:hAnsi="Times New Roman" w:cs="Times New Roman"/>
          <w:sz w:val="24"/>
          <w:szCs w:val="24"/>
          <w:lang w:val="uk-UA"/>
        </w:rPr>
        <w:t xml:space="preserve">Середньозважена ціна за 20 днів червня 2023 року </w:t>
      </w:r>
      <w:r w:rsidR="00645EB0" w:rsidRPr="00645EB0"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на ринку </w:t>
      </w:r>
      <w:proofErr w:type="spellStart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“на</w:t>
      </w:r>
      <w:proofErr w:type="spellEnd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добу </w:t>
      </w:r>
      <w:proofErr w:type="spellStart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наперед”</w:t>
      </w:r>
      <w:proofErr w:type="spellEnd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="00645EB0" w:rsidRPr="00645EB0">
        <w:rPr>
          <w:rFonts w:ascii="Times New Roman" w:hAnsi="Times New Roman" w:cs="Times New Roman"/>
          <w:sz w:val="24"/>
          <w:szCs w:val="24"/>
          <w:lang w:val="uk-UA"/>
        </w:rPr>
        <w:t xml:space="preserve">склала 3,00203 </w:t>
      </w:r>
      <w:proofErr w:type="spellStart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645EB0" w:rsidRPr="00645EB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/</w:t>
      </w:r>
      <w:proofErr w:type="spellStart"/>
      <w:r w:rsidR="00645EB0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кВт</w:t>
      </w:r>
      <w:r w:rsidR="00645EB0" w:rsidRPr="00645EB0">
        <w:rPr>
          <w:rFonts w:ascii="Times New Roman" w:hAnsi="Cambria Math" w:cs="Times New Roman"/>
          <w:sz w:val="24"/>
          <w:szCs w:val="24"/>
          <w:shd w:val="clear" w:color="auto" w:fill="FFFFFF"/>
          <w:lang w:val="uk-UA"/>
        </w:rPr>
        <w:t>⋅</w:t>
      </w:r>
      <w:r w:rsidR="00645EB0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год</w:t>
      </w:r>
      <w:proofErr w:type="spellEnd"/>
      <w:r w:rsidR="00645EB0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5C082B" w:rsidRDefault="00B86C42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Тариф на послуги з передачі електричної енергії на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період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01.07.2023 р</w:t>
      </w:r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31.12.2023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враховано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івні </w:t>
      </w:r>
      <w:r w:rsidR="005C082B" w:rsidRPr="00AD6A8D">
        <w:rPr>
          <w:rFonts w:ascii="Times New Roman" w:hAnsi="Times New Roman" w:cs="Times New Roman"/>
          <w:sz w:val="24"/>
          <w:szCs w:val="24"/>
          <w:shd w:val="clear" w:color="auto" w:fill="FFFFFF"/>
        </w:rPr>
        <w:t>0,</w:t>
      </w:r>
      <w:r w:rsidR="005C082B">
        <w:rPr>
          <w:rFonts w:ascii="Times New Roman" w:hAnsi="Times New Roman" w:cs="Times New Roman"/>
          <w:sz w:val="24"/>
          <w:szCs w:val="24"/>
          <w:shd w:val="clear" w:color="auto" w:fill="FFFFFF"/>
        </w:rPr>
        <w:t>4851</w:t>
      </w:r>
      <w:r w:rsidR="005C082B" w:rsidRPr="00AD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5C08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кВт</w:t>
      </w:r>
      <w:r w:rsidRPr="005C082B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</w:rPr>
        <w:t>⋅</w:t>
      </w:r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год</w:t>
      </w:r>
      <w:proofErr w:type="spellEnd"/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без ПДВ</w:t>
      </w:r>
      <w:r w:rsidRPr="00B86C42">
        <w:rPr>
          <w:color w:val="202122"/>
          <w:shd w:val="clear" w:color="auto" w:fill="FFFFFF"/>
        </w:rPr>
        <w:t xml:space="preserve"> </w:t>
      </w:r>
      <w:r w:rsidRPr="005C08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</w:t>
      </w:r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постанови НКРЕКП “Про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встановлення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тарифу на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послуги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передачі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електричної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енергії</w:t>
      </w:r>
      <w:proofErr w:type="spellEnd"/>
      <w:r w:rsidR="005C082B" w:rsidRPr="0085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 “УКРЕНЕРГО” </w:t>
      </w:r>
      <w:proofErr w:type="spellStart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5C08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21.12.2022 р. №1788</w:t>
      </w:r>
      <w:r w:rsidR="005C082B" w:rsidRPr="006568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C082B" w:rsidRDefault="005C082B" w:rsidP="005C082B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kern w:val="2"/>
          <w:sz w:val="24"/>
          <w:szCs w:val="24"/>
          <w:lang w:val="uk-UA" w:eastAsia="ar-SA"/>
        </w:rPr>
        <w:t xml:space="preserve">     </w:t>
      </w:r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Тариф (маржа) на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послуги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постачальника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прийнято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на </w:t>
      </w:r>
      <w:proofErr w:type="spellStart"/>
      <w:proofErr w:type="gram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р</w:t>
      </w:r>
      <w:proofErr w:type="gram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івні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10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відсотків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ціни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електричної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енергії</w:t>
      </w:r>
      <w:proofErr w:type="spellEnd"/>
      <w:r w:rsidRPr="0065682C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на ринку </w:t>
      </w:r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“на </w:t>
      </w:r>
      <w:proofErr w:type="spellStart"/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добу</w:t>
      </w:r>
      <w:proofErr w:type="spellEnd"/>
      <w:r w:rsidRPr="006568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наперед”.</w:t>
      </w:r>
    </w:p>
    <w:p w:rsidR="00645EB0" w:rsidRPr="00645EB0" w:rsidRDefault="00645EB0" w:rsidP="00645EB0">
      <w:pPr>
        <w:shd w:val="clear" w:color="auto" w:fill="FFFFFF"/>
        <w:tabs>
          <w:tab w:val="left" w:pos="-284"/>
        </w:tabs>
        <w:spacing w:after="0" w:line="240" w:lineRule="auto"/>
        <w:ind w:left="-284" w:right="-142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</w:t>
      </w:r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а результатами </w:t>
      </w:r>
      <w:r w:rsidR="005C082B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проведени</w:t>
      </w:r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х</w:t>
      </w:r>
      <w:r w:rsidR="005C082B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розрахунк</w:t>
      </w:r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5C082B"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645EB0">
        <w:rPr>
          <w:rFonts w:ascii="Times New Roman" w:hAnsi="Times New Roman" w:cs="Times New Roman"/>
          <w:sz w:val="24"/>
          <w:szCs w:val="24"/>
          <w:lang w:val="uk-UA"/>
        </w:rPr>
        <w:t xml:space="preserve">з метою визначення ціни на електричну енергію, яка була б реальною на період проведення закупівлі електричної енергії та по можливості залишалася сталою на весь період дії договору про закупівлю, для розрахунку очікуваної вартості предмета закупівлі </w:t>
      </w:r>
      <w:proofErr w:type="spellStart"/>
      <w:r w:rsidRPr="00645EB0">
        <w:rPr>
          <w:rFonts w:ascii="Times New Roman" w:hAnsi="Times New Roman" w:cs="Times New Roman"/>
          <w:sz w:val="24"/>
          <w:szCs w:val="24"/>
          <w:lang w:val="uk-UA"/>
        </w:rPr>
        <w:t>прий</w:t>
      </w:r>
      <w:r>
        <w:rPr>
          <w:rFonts w:ascii="Times New Roman" w:hAnsi="Times New Roman" w:cs="Times New Roman"/>
          <w:sz w:val="24"/>
          <w:szCs w:val="24"/>
          <w:lang w:val="uk-UA"/>
        </w:rPr>
        <w:t>тято</w:t>
      </w:r>
      <w:proofErr w:type="spellEnd"/>
      <w:r w:rsidRPr="00645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E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ц</w:t>
      </w:r>
      <w:r w:rsidRPr="00645E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іну </w:t>
      </w:r>
      <w:r w:rsidRPr="00645E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1 </w:t>
      </w:r>
      <w:proofErr w:type="spellStart"/>
      <w:r w:rsidRPr="00645E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кВт</w:t>
      </w:r>
      <w:r w:rsidRPr="00645EB0">
        <w:rPr>
          <w:rFonts w:ascii="Times New Roman" w:hAnsi="Cambria Math" w:cs="Times New Roman"/>
          <w:color w:val="202122"/>
          <w:sz w:val="24"/>
          <w:szCs w:val="24"/>
          <w:shd w:val="clear" w:color="auto" w:fill="FFFFFF"/>
          <w:lang w:val="uk-UA"/>
        </w:rPr>
        <w:t>⋅</w:t>
      </w:r>
      <w:r w:rsidRPr="00645E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645EB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uk-UA"/>
        </w:rPr>
        <w:t xml:space="preserve"> </w:t>
      </w:r>
      <w:r w:rsidRPr="00645EB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електричної енергії в розмірі 5,0 </w:t>
      </w:r>
      <w:proofErr w:type="spellStart"/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/</w:t>
      </w:r>
      <w:proofErr w:type="spellStart"/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кВт</w:t>
      </w:r>
      <w:r w:rsidRPr="00645EB0">
        <w:rPr>
          <w:rFonts w:ascii="Times New Roman" w:hAnsi="Cambria Math" w:cs="Times New Roman"/>
          <w:sz w:val="24"/>
          <w:szCs w:val="24"/>
          <w:shd w:val="clear" w:color="auto" w:fill="FFFFFF"/>
          <w:lang w:val="uk-UA"/>
        </w:rPr>
        <w:t>⋅</w:t>
      </w:r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год</w:t>
      </w:r>
      <w:proofErr w:type="spellEnd"/>
      <w:r w:rsidRPr="00645EB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 ПДВ</w:t>
      </w:r>
      <w:r w:rsidRPr="00645E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C082B" w:rsidRPr="00645EB0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C082B" w:rsidRPr="00645EB0" w:rsidRDefault="005C082B" w:rsidP="005C082B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:rsidR="005C082B" w:rsidRPr="00645EB0" w:rsidRDefault="005C082B" w:rsidP="005C082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Pr="00645EB0" w:rsidRDefault="00B86C42" w:rsidP="00B86C42">
      <w:pPr>
        <w:pStyle w:val="a7"/>
        <w:shd w:val="clear" w:color="auto" w:fill="FBFBFB"/>
        <w:spacing w:before="0" w:beforeAutospacing="0" w:after="0" w:afterAutospacing="0" w:line="360" w:lineRule="auto"/>
        <w:ind w:left="-284" w:right="-142"/>
        <w:jc w:val="both"/>
        <w:rPr>
          <w:color w:val="202124"/>
          <w:shd w:val="clear" w:color="auto" w:fill="FFFFFF"/>
        </w:rPr>
      </w:pPr>
    </w:p>
    <w:p w:rsidR="00B86C42" w:rsidRDefault="00B86C42" w:rsidP="00B86C42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86C42" w:rsidRDefault="00B86C42" w:rsidP="00FB6DED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177CC3" w:rsidRPr="00977784" w:rsidRDefault="00B86C42" w:rsidP="00B86C4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77CC3" w:rsidRDefault="00177CC3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6DED" w:rsidRPr="00977784" w:rsidRDefault="00FB6DED" w:rsidP="005F4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B6DED" w:rsidRPr="00977784" w:rsidSect="00B86C42">
      <w:footerReference w:type="default" r:id="rId9"/>
      <w:pgSz w:w="11900" w:h="16840"/>
      <w:pgMar w:top="568" w:right="850" w:bottom="113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76D" w:rsidRDefault="00A5076D" w:rsidP="00B86C42">
      <w:pPr>
        <w:spacing w:after="0" w:line="240" w:lineRule="auto"/>
      </w:pPr>
      <w:r>
        <w:separator/>
      </w:r>
    </w:p>
  </w:endnote>
  <w:endnote w:type="continuationSeparator" w:id="1">
    <w:p w:rsidR="00A5076D" w:rsidRDefault="00A5076D" w:rsidP="00B8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32861"/>
      <w:docPartObj>
        <w:docPartGallery w:val="Page Numbers (Bottom of Page)"/>
        <w:docPartUnique/>
      </w:docPartObj>
    </w:sdtPr>
    <w:sdtContent>
      <w:p w:rsidR="00B86C42" w:rsidRDefault="00F13309">
        <w:pPr>
          <w:pStyle w:val="af0"/>
          <w:jc w:val="center"/>
        </w:pPr>
        <w:fldSimple w:instr=" PAGE   \* MERGEFORMAT ">
          <w:r w:rsidR="0098739B">
            <w:rPr>
              <w:noProof/>
            </w:rPr>
            <w:t>2</w:t>
          </w:r>
        </w:fldSimple>
      </w:p>
    </w:sdtContent>
  </w:sdt>
  <w:p w:rsidR="00B86C42" w:rsidRDefault="00B86C4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76D" w:rsidRDefault="00A5076D" w:rsidP="00B86C42">
      <w:pPr>
        <w:spacing w:after="0" w:line="240" w:lineRule="auto"/>
      </w:pPr>
      <w:r>
        <w:separator/>
      </w:r>
    </w:p>
  </w:footnote>
  <w:footnote w:type="continuationSeparator" w:id="1">
    <w:p w:rsidR="00A5076D" w:rsidRDefault="00A5076D" w:rsidP="00B8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9CB"/>
    <w:multiLevelType w:val="multilevel"/>
    <w:tmpl w:val="C5B44222"/>
    <w:lvl w:ilvl="0">
      <w:start w:val="3"/>
      <w:numFmt w:val="decimal"/>
      <w:lvlText w:val="%1."/>
      <w:lvlJc w:val="left"/>
      <w:pPr>
        <w:ind w:left="574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87" w:hanging="1800"/>
      </w:pPr>
      <w:rPr>
        <w:rFonts w:hint="default"/>
      </w:rPr>
    </w:lvl>
  </w:abstractNum>
  <w:abstractNum w:abstractNumId="1">
    <w:nsid w:val="0CDF6776"/>
    <w:multiLevelType w:val="hybridMultilevel"/>
    <w:tmpl w:val="F8AED78E"/>
    <w:lvl w:ilvl="0" w:tplc="D93C5ED8">
      <w:start w:val="5"/>
      <w:numFmt w:val="decimal"/>
      <w:lvlText w:val="%1."/>
      <w:lvlJc w:val="left"/>
      <w:pPr>
        <w:ind w:left="720" w:hanging="360"/>
      </w:pPr>
      <w:rPr>
        <w:rFonts w:ascii="SourceSansPro" w:eastAsia="Times New Roman" w:hAnsi="SourceSansPro" w:hint="default"/>
        <w:b/>
        <w:color w:val="1D1D1B"/>
      </w:rPr>
    </w:lvl>
    <w:lvl w:ilvl="1" w:tplc="04220019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530A"/>
    <w:multiLevelType w:val="multilevel"/>
    <w:tmpl w:val="6978B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46BF587D"/>
    <w:multiLevelType w:val="hybridMultilevel"/>
    <w:tmpl w:val="80C0E38C"/>
    <w:lvl w:ilvl="0" w:tplc="0EF0576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DC7740"/>
    <w:multiLevelType w:val="hybridMultilevel"/>
    <w:tmpl w:val="9D147AC8"/>
    <w:lvl w:ilvl="0" w:tplc="E5DA82D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349C4"/>
    <w:multiLevelType w:val="multilevel"/>
    <w:tmpl w:val="E2462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72086822"/>
    <w:multiLevelType w:val="multilevel"/>
    <w:tmpl w:val="61E88D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164"/>
    <w:rsid w:val="000208A5"/>
    <w:rsid w:val="0006216B"/>
    <w:rsid w:val="000A0700"/>
    <w:rsid w:val="000B73A2"/>
    <w:rsid w:val="000E7D61"/>
    <w:rsid w:val="00177CC3"/>
    <w:rsid w:val="001A3EDF"/>
    <w:rsid w:val="002456AF"/>
    <w:rsid w:val="002D3D40"/>
    <w:rsid w:val="00314455"/>
    <w:rsid w:val="003222C0"/>
    <w:rsid w:val="003224F8"/>
    <w:rsid w:val="003334D8"/>
    <w:rsid w:val="003439E0"/>
    <w:rsid w:val="003B124B"/>
    <w:rsid w:val="003B786B"/>
    <w:rsid w:val="004238DC"/>
    <w:rsid w:val="0045629B"/>
    <w:rsid w:val="0046416A"/>
    <w:rsid w:val="00486860"/>
    <w:rsid w:val="004B16E2"/>
    <w:rsid w:val="004B4458"/>
    <w:rsid w:val="004F43A3"/>
    <w:rsid w:val="005038B2"/>
    <w:rsid w:val="0053399C"/>
    <w:rsid w:val="00576629"/>
    <w:rsid w:val="005A44C0"/>
    <w:rsid w:val="005C082B"/>
    <w:rsid w:val="005E1517"/>
    <w:rsid w:val="005F4919"/>
    <w:rsid w:val="00614CD0"/>
    <w:rsid w:val="00645EB0"/>
    <w:rsid w:val="00660F41"/>
    <w:rsid w:val="006632F0"/>
    <w:rsid w:val="007323D6"/>
    <w:rsid w:val="00747782"/>
    <w:rsid w:val="00793975"/>
    <w:rsid w:val="00854D96"/>
    <w:rsid w:val="008961A3"/>
    <w:rsid w:val="008D0D5C"/>
    <w:rsid w:val="00925B0F"/>
    <w:rsid w:val="00957C8B"/>
    <w:rsid w:val="00977784"/>
    <w:rsid w:val="0098625C"/>
    <w:rsid w:val="0098739B"/>
    <w:rsid w:val="009A05E3"/>
    <w:rsid w:val="009A68AF"/>
    <w:rsid w:val="009F3164"/>
    <w:rsid w:val="00A5076D"/>
    <w:rsid w:val="00A6721A"/>
    <w:rsid w:val="00AE0F5C"/>
    <w:rsid w:val="00AE5580"/>
    <w:rsid w:val="00B11FF5"/>
    <w:rsid w:val="00B50D9D"/>
    <w:rsid w:val="00B86C42"/>
    <w:rsid w:val="00B90472"/>
    <w:rsid w:val="00CD051F"/>
    <w:rsid w:val="00D138BB"/>
    <w:rsid w:val="00D151BB"/>
    <w:rsid w:val="00D5344F"/>
    <w:rsid w:val="00D75B2D"/>
    <w:rsid w:val="00E22749"/>
    <w:rsid w:val="00E347E2"/>
    <w:rsid w:val="00E87204"/>
    <w:rsid w:val="00F13309"/>
    <w:rsid w:val="00F71303"/>
    <w:rsid w:val="00F90359"/>
    <w:rsid w:val="00F90D28"/>
    <w:rsid w:val="00F9596D"/>
    <w:rsid w:val="00FB6DED"/>
    <w:rsid w:val="00FF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82"/>
  </w:style>
  <w:style w:type="paragraph" w:styleId="1">
    <w:name w:val="heading 1"/>
    <w:basedOn w:val="a"/>
    <w:link w:val="10"/>
    <w:uiPriority w:val="9"/>
    <w:qFormat/>
    <w:rsid w:val="009F3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9F3164"/>
  </w:style>
  <w:style w:type="paragraph" w:styleId="a3">
    <w:name w:val="Normal (Web)"/>
    <w:basedOn w:val="a"/>
    <w:uiPriority w:val="99"/>
    <w:semiHidden/>
    <w:unhideWhenUsed/>
    <w:rsid w:val="009F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164"/>
    <w:rPr>
      <w:b/>
      <w:bCs/>
    </w:rPr>
  </w:style>
  <w:style w:type="character" w:styleId="a5">
    <w:name w:val="Emphasis"/>
    <w:basedOn w:val="a0"/>
    <w:uiPriority w:val="20"/>
    <w:qFormat/>
    <w:rsid w:val="009F3164"/>
    <w:rPr>
      <w:i/>
      <w:iCs/>
    </w:rPr>
  </w:style>
  <w:style w:type="character" w:styleId="a6">
    <w:name w:val="Hyperlink"/>
    <w:basedOn w:val="a0"/>
    <w:uiPriority w:val="99"/>
    <w:unhideWhenUsed/>
    <w:rsid w:val="009F3164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D138BB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 w:cs="Times New Roman"/>
      <w:sz w:val="24"/>
      <w:szCs w:val="24"/>
      <w:lang w:eastAsia="ru-RU"/>
    </w:rPr>
  </w:style>
  <w:style w:type="paragraph" w:customStyle="1" w:styleId="a7">
    <w:name w:val="a"/>
    <w:basedOn w:val="a"/>
    <w:rsid w:val="001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0A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бычный2"/>
    <w:rsid w:val="000A0700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8">
    <w:name w:val="List Paragraph"/>
    <w:aliases w:val="EBRD List,Список уровня 2,название табл/рис,заголовок 1.1,Elenco Normale,List Paragraph"/>
    <w:basedOn w:val="a"/>
    <w:link w:val="a9"/>
    <w:uiPriority w:val="34"/>
    <w:qFormat/>
    <w:rsid w:val="000A0700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a9">
    <w:name w:val="Абзац списка Знак"/>
    <w:aliases w:val="EBRD List Знак,Список уровня 2 Знак,название табл/рис Знак,заголовок 1.1 Знак,Elenco Normale Знак,List Paragraph Знак"/>
    <w:link w:val="a8"/>
    <w:uiPriority w:val="34"/>
    <w:locked/>
    <w:rsid w:val="000A0700"/>
    <w:rPr>
      <w:rFonts w:eastAsiaTheme="minorEastAsia"/>
      <w:lang w:val="uk-UA" w:eastAsia="uk-UA"/>
    </w:rPr>
  </w:style>
  <w:style w:type="paragraph" w:styleId="aa">
    <w:name w:val="No Spacing"/>
    <w:link w:val="ab"/>
    <w:qFormat/>
    <w:rsid w:val="00FF0E8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b">
    <w:name w:val="Без интервала Знак"/>
    <w:link w:val="aa"/>
    <w:locked/>
    <w:rsid w:val="00FF0E86"/>
    <w:rPr>
      <w:rFonts w:ascii="Calibri" w:eastAsia="Calibri" w:hAnsi="Calibri" w:cs="Times New Roman"/>
      <w:lang w:val="uk-UA"/>
    </w:rPr>
  </w:style>
  <w:style w:type="character" w:customStyle="1" w:styleId="rvts0">
    <w:name w:val="rvts0"/>
    <w:rsid w:val="00FF0E86"/>
  </w:style>
  <w:style w:type="paragraph" w:styleId="ac">
    <w:name w:val="Balloon Text"/>
    <w:basedOn w:val="a"/>
    <w:link w:val="ad"/>
    <w:uiPriority w:val="99"/>
    <w:semiHidden/>
    <w:unhideWhenUsed/>
    <w:rsid w:val="0006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16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6C42"/>
  </w:style>
  <w:style w:type="paragraph" w:styleId="af0">
    <w:name w:val="footer"/>
    <w:basedOn w:val="a"/>
    <w:link w:val="af1"/>
    <w:uiPriority w:val="99"/>
    <w:unhideWhenUsed/>
    <w:rsid w:val="00B86C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6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4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e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B5E1-CC75-4098-900E-5611204A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3946</Words>
  <Characters>2250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 Майстренко</dc:creator>
  <cp:lastModifiedBy>Prockiv_OP</cp:lastModifiedBy>
  <cp:revision>8</cp:revision>
  <cp:lastPrinted>2023-06-30T07:19:00Z</cp:lastPrinted>
  <dcterms:created xsi:type="dcterms:W3CDTF">2022-12-22T12:25:00Z</dcterms:created>
  <dcterms:modified xsi:type="dcterms:W3CDTF">2023-06-30T07:22:00Z</dcterms:modified>
</cp:coreProperties>
</file>